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7CE8" w14:textId="77777777" w:rsidR="0004759A" w:rsidRPr="0036674A" w:rsidRDefault="0004759A" w:rsidP="0004759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Press-reliz</w:t>
      </w:r>
    </w:p>
    <w:p w14:paraId="08CEA242" w14:textId="4BC44019" w:rsidR="0004759A" w:rsidRPr="0036674A" w:rsidRDefault="0004759A" w:rsidP="0004759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Oʻzbekiston Respublikasi Prezidentining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Qarori</w:t>
      </w:r>
    </w:p>
    <w:p w14:paraId="7A336682" w14:textId="629E74F3" w:rsidR="0004759A" w:rsidRPr="0036674A" w:rsidRDefault="0004759A" w:rsidP="0004759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“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O‘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zbekist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n Respublikasining "2025-yil uchun 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O‘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zbekist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n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Respublikasining Davlat budjeti t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o‘g‘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risida"gi 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Q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onuni ijrosini taʼminlash chora-tadbirlari </w:t>
      </w:r>
      <w:r w:rsidRPr="00DD5D4D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to‘g‘</w:t>
      </w:r>
      <w:r w:rsidRPr="00161E8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risida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”</w:t>
      </w:r>
    </w:p>
    <w:p w14:paraId="20F093B2" w14:textId="3A5DB63A" w:rsidR="0004759A" w:rsidRPr="0036674A" w:rsidRDefault="0004759A" w:rsidP="0004759A">
      <w:pPr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Q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455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25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.2024 y</w:t>
      </w:r>
    </w:p>
    <w:p w14:paraId="3550A17C" w14:textId="221387CA" w:rsidR="007F07A3" w:rsidRPr="003B6338" w:rsidRDefault="007F07A3" w:rsidP="00F72C0C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1EAF5C74" w14:textId="1357CD96" w:rsidR="007F07A3" w:rsidRDefault="00DD5D4D" w:rsidP="00F72C0C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D5D4D">
        <w:rPr>
          <w:rFonts w:ascii="Times New Roman" w:hAnsi="Times New Roman" w:cs="Times New Roman"/>
          <w:noProof/>
          <w:sz w:val="28"/>
          <w:szCs w:val="28"/>
          <w:lang w:val="uz-Cyrl-UZ"/>
        </w:rPr>
        <w:t>Qarorga ko‘ra</w:t>
      </w:r>
      <w:r w:rsidR="00D07013" w:rsidRPr="003B633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C721B0" w:rsidRPr="00C721B0">
        <w:rPr>
          <w:rFonts w:ascii="Times New Roman" w:hAnsi="Times New Roman" w:cs="Times New Roman"/>
          <w:noProof/>
          <w:sz w:val="28"/>
          <w:szCs w:val="28"/>
          <w:lang w:val="uz-Cyrl-UZ"/>
        </w:rPr>
        <w:t>O‘zbekiston Respublikasi</w:t>
      </w:r>
      <w:r w:rsidR="00C721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Davlat budjetining jami daromadlari prognozi </w:t>
      </w:r>
      <w:r w:rsidR="00C721B0"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2025-yil uchun </w:t>
      </w:r>
      <w:r w:rsidR="00C721B0" w:rsidRPr="00785948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>308 546,9 mlrd.so‘m</w:t>
      </w:r>
      <w:r w:rsidR="00C721B0"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  <w:r w:rsidR="00C721B0">
        <w:rPr>
          <w:rFonts w:ascii="Times New Roman" w:hAnsi="Times New Roman" w:cs="Times New Roman"/>
          <w:noProof/>
          <w:sz w:val="28"/>
          <w:szCs w:val="28"/>
          <w:lang w:val="en-US"/>
        </w:rPr>
        <w:t>etib belgilandi</w:t>
      </w:r>
      <w:r w:rsidR="00CA508C" w:rsidRPr="003B6338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  <w:r w:rsidR="00C721B0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C721B0" w:rsidRPr="00785948">
        <w:rPr>
          <w:rFonts w:ascii="Times New Roman" w:hAnsi="Times New Roman" w:cs="Times New Roman"/>
          <w:noProof/>
          <w:sz w:val="28"/>
          <w:szCs w:val="28"/>
          <w:lang w:val="en-US"/>
        </w:rPr>
        <w:t>Jumladan:</w:t>
      </w:r>
    </w:p>
    <w:p w14:paraId="236A77C0" w14:textId="3DAFC09D" w:rsidR="00C721B0" w:rsidRDefault="00C721B0" w:rsidP="00C721B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721B0">
        <w:rPr>
          <w:rFonts w:ascii="Times New Roman" w:hAnsi="Times New Roman" w:cs="Times New Roman"/>
          <w:noProof/>
          <w:sz w:val="28"/>
          <w:szCs w:val="28"/>
          <w:lang w:val="en-US"/>
        </w:rPr>
        <w:t>Bevosita soliqlar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</w:t>
      </w:r>
      <w:r w:rsidRPr="00785948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100 261,2 mlrd.so‘m;</w:t>
      </w:r>
    </w:p>
    <w:p w14:paraId="1A7D1184" w14:textId="35D57E9E" w:rsidR="00C721B0" w:rsidRDefault="00C721B0" w:rsidP="00C721B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Bilvosita soliqlar – </w:t>
      </w:r>
      <w:r w:rsidRPr="00785948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104 674,0 mlrd.so‘m;</w:t>
      </w:r>
    </w:p>
    <w:p w14:paraId="5A673C87" w14:textId="0F2B5751" w:rsidR="00C721B0" w:rsidRPr="00785948" w:rsidRDefault="00C721B0" w:rsidP="00C721B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Resurs to‘lovlari va mol-mulk solig‘i – </w:t>
      </w:r>
      <w:r w:rsidRPr="00785948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38 696,7 mlrd.so‘m;</w:t>
      </w:r>
    </w:p>
    <w:p w14:paraId="0CC1671E" w14:textId="6BC24145" w:rsidR="00C721B0" w:rsidRDefault="00C721B0" w:rsidP="00C721B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Dividendlar – </w:t>
      </w:r>
      <w:r w:rsidRPr="00785948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34 580, 0 mlrd.so‘m;</w:t>
      </w:r>
    </w:p>
    <w:p w14:paraId="164EE270" w14:textId="1DC8308C" w:rsidR="00C721B0" w:rsidRPr="00C721B0" w:rsidRDefault="00C721B0" w:rsidP="00C721B0">
      <w:pPr>
        <w:pStyle w:val="a5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Boshqa daromadlar va soliq bo‘lmagan boshqa tushumlar – </w:t>
      </w:r>
      <w:r w:rsidRPr="00785948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30 335,0 mlrd.so‘m.</w:t>
      </w:r>
    </w:p>
    <w:p w14:paraId="14438F51" w14:textId="7DC68C65" w:rsidR="00C2725F" w:rsidRPr="00785948" w:rsidRDefault="00F00605" w:rsidP="00C2725F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Quyidagi soliq turlari bo‘yicha daromadlar prognozining oshirib bajarilgan qismi Qoraqa</w:t>
      </w:r>
      <w:r w:rsidR="00C2725F"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lpog‘iston Respublikasining respublika budjeti, viloyatlarning viloyat budjetlari va Toshkent shahrining shahar budjetida quyidagi miqdorlarda qoldirilmoqda:</w:t>
      </w:r>
    </w:p>
    <w:p w14:paraId="6A157B8F" w14:textId="343FFF49" w:rsidR="00C2725F" w:rsidRDefault="00C2725F" w:rsidP="00C2725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Jismoniy shaxslardan olinadigan daromad solig‘i </w:t>
      </w:r>
      <w:r w:rsidRPr="00B17699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>to‘liq hajmda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546553FD" w14:textId="02038B2D" w:rsidR="00C2725F" w:rsidRPr="00C2725F" w:rsidRDefault="00C2725F" w:rsidP="00C2725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C2725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oyda solig‘i </w:t>
      </w:r>
      <w:r w:rsidRPr="00B17699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>to‘liq hajmda</w:t>
      </w:r>
      <w:r w:rsidRPr="00C2725F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14:paraId="0468F991" w14:textId="1D292E1C" w:rsidR="00F00605" w:rsidRPr="00C2725F" w:rsidRDefault="00C2725F" w:rsidP="007A2CD7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Qo‘shilgan qiymat solig‘i bo‘yicha </w:t>
      </w:r>
      <w:r w:rsidRPr="00B17699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 xml:space="preserve">Qoraqalpog‘iston Respublikasida daromadlar prognozining oshirib bajarilgan qismining </w:t>
      </w:r>
      <w:r w:rsidRPr="00B17699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>100 foizi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qolgan hududlar esa </w:t>
      </w:r>
      <w:r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60 foizi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14:paraId="5031C073" w14:textId="5EC580A2" w:rsidR="00F00605" w:rsidRPr="007A2CD7" w:rsidRDefault="00C2725F" w:rsidP="007A2CD7">
      <w:pPr>
        <w:ind w:firstLine="708"/>
        <w:jc w:val="both"/>
        <w:rPr>
          <w:rFonts w:ascii="Times New Roman" w:hAnsi="Times New Roman" w:cs="Times New Roman"/>
          <w:i/>
          <w:noProof/>
          <w:sz w:val="26"/>
          <w:szCs w:val="26"/>
          <w:lang w:val="en-US"/>
        </w:rPr>
      </w:pPr>
      <w:r w:rsidRPr="007A2CD7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Mazkur qaro</w:t>
      </w:r>
      <w:r w:rsid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r</w:t>
      </w:r>
      <w:r w:rsidRPr="007A2CD7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ning 4-ilovasida ko‘rsatilgan yirik soliq to‘lovchilar tomonidan to‘langan soliqlar bundan mustasno</w:t>
      </w:r>
      <w:r w:rsidR="007A2CD7" w:rsidRPr="007A2CD7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.</w:t>
      </w:r>
    </w:p>
    <w:p w14:paraId="61D413F8" w14:textId="365F50A9" w:rsidR="00F00605" w:rsidRPr="00785948" w:rsidRDefault="007A2CD7" w:rsidP="00FB1B13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2025-yil uchu</w:t>
      </w:r>
      <w:r w:rsidR="00785948"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n</w:t>
      </w:r>
      <w:r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quyidagi </w:t>
      </w:r>
      <w:r w:rsidR="00FB7DCC"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quyidagi soliq stavkalari tasdiqlandi:</w:t>
      </w:r>
    </w:p>
    <w:p w14:paraId="4CB1D787" w14:textId="0F349C21" w:rsidR="00FB7DCC" w:rsidRDefault="00FB7DCC" w:rsidP="00B50074">
      <w:pPr>
        <w:pStyle w:val="a5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“Navoiy kon-metallurgiya kombinati”AJ va “Olmaliq kon-metallurgiya kombinati”AJ uchun </w:t>
      </w:r>
      <w:r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foyda solig‘</w:t>
      </w:r>
      <w:r w:rsidR="00FB1B13"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:</w:t>
      </w:r>
    </w:p>
    <w:p w14:paraId="23A95665" w14:textId="01A6239D" w:rsidR="00FB7DCC" w:rsidRDefault="00FB7DCC" w:rsidP="00FB7D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Soliq solish bazasining, tovar (xizmat) realizatsiya qilishdan tushgan tushumning 15 foiziga teng m</w:t>
      </w:r>
      <w:r w:rsidR="00785948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qdordagi qismiga – 15 foiz;</w:t>
      </w:r>
    </w:p>
    <w:p w14:paraId="271D40F2" w14:textId="284FDE32" w:rsidR="00FB7DCC" w:rsidRDefault="00FB7DCC" w:rsidP="00FB7D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Soliq solish bazasining </w:t>
      </w:r>
      <w:r w:rsidR="00FB1B13">
        <w:rPr>
          <w:rFonts w:ascii="Times New Roman" w:hAnsi="Times New Roman" w:cs="Times New Roman"/>
          <w:noProof/>
          <w:sz w:val="28"/>
          <w:szCs w:val="28"/>
          <w:lang w:val="en-US"/>
        </w:rPr>
        <w:t>qolgan qismiga – 50 foiz.</w:t>
      </w:r>
    </w:p>
    <w:p w14:paraId="1B0BFCA8" w14:textId="4F9A9CCF" w:rsidR="00FB1B13" w:rsidRPr="00FB1B13" w:rsidRDefault="00FB1B13" w:rsidP="00B50074">
      <w:pPr>
        <w:pStyle w:val="a5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Yer qaridan foydalanganlik uchun soliq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bo‘yicha quyidagi miqdorlarda:</w:t>
      </w:r>
    </w:p>
    <w:p w14:paraId="7D9754B8" w14:textId="1A05E1E9" w:rsidR="007F07A3" w:rsidRDefault="00FB1B13" w:rsidP="00FB1B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FB1B13">
        <w:rPr>
          <w:rFonts w:ascii="Times New Roman" w:hAnsi="Times New Roman" w:cs="Times New Roman"/>
          <w:noProof/>
          <w:sz w:val="28"/>
          <w:szCs w:val="28"/>
          <w:lang w:val="en-US"/>
        </w:rPr>
        <w:t>Navoiy kon-metallurgiya kombinati”AJ va “Olmaliq kon-metallurgiya kombinati”AJ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uchun </w:t>
      </w:r>
      <w:r w:rsidR="0021427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oltin bo‘yicha – </w:t>
      </w:r>
      <w:r w:rsidR="00214274" w:rsidRPr="00B17699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10 foiz </w:t>
      </w:r>
      <w:r w:rsidR="0021427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va palladiy, kumush, mis bo‘yicha – </w:t>
      </w:r>
      <w:r w:rsidR="00214274" w:rsidRPr="00B17699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15 foiz;</w:t>
      </w:r>
    </w:p>
    <w:p w14:paraId="6EB85C3E" w14:textId="07A0CCAF" w:rsidR="00214274" w:rsidRDefault="00214274" w:rsidP="00FB1B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“Navoiyuran” AJ uchun uran bo‘yicha – </w:t>
      </w:r>
      <w:r w:rsidRPr="00B17699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16 foiz;</w:t>
      </w:r>
    </w:p>
    <w:p w14:paraId="3ED919FC" w14:textId="7D8580D2" w:rsidR="00214274" w:rsidRPr="00B17699" w:rsidRDefault="00214274" w:rsidP="00FB1B1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 xml:space="preserve">“Ozbekneftgaz”Aj uchun neft, tabiiy gaz va gaz kondensati bo‘yicha – </w:t>
      </w:r>
      <w:r w:rsidRPr="00B17699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15 foiz</w:t>
      </w:r>
    </w:p>
    <w:p w14:paraId="50046200" w14:textId="66427660" w:rsidR="00755D37" w:rsidRDefault="00B50074" w:rsidP="00B50074">
      <w:p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V)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ab/>
        <w:t xml:space="preserve">Oltindan yasalgan zargarlik buyumlarini chakana savdoda sotganlik uchun yig‘im </w:t>
      </w:r>
      <w:r w:rsidRPr="00B17699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>1 gra</w:t>
      </w:r>
      <w:r w:rsidR="00785948" w:rsidRPr="00B17699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>m</w:t>
      </w:r>
      <w:r w:rsidRPr="00B17699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>miga 2 000 so‘m</w:t>
      </w:r>
      <w:r w:rsidRPr="00B17699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miq</w:t>
      </w:r>
      <w:r w:rsidR="00785948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orida.</w:t>
      </w:r>
    </w:p>
    <w:p w14:paraId="134E3520" w14:textId="77777777" w:rsidR="00755D37" w:rsidRPr="00785948" w:rsidRDefault="00755D37" w:rsidP="00B500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7859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2025-yilda uy joy fondining ko‘chmas mulk obyektlariga, shuningdek, ular egallab turgan yer uchastkalariga nisbatan:</w:t>
      </w:r>
    </w:p>
    <w:p w14:paraId="0E36E8F0" w14:textId="77777777" w:rsidR="00C0446B" w:rsidRDefault="00755D37" w:rsidP="00755D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2018-yilda belgilangan </w:t>
      </w:r>
      <w:r w:rsidR="00C044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kadastr qiymati asosida hisoblangan jismoniy shaxslarning mol-mulkiga solinadigan soliq summasi 2024-yil uchun hisoblab chiqarilgan soliq summasining </w:t>
      </w:r>
      <w:r w:rsidR="00C0446B" w:rsidRPr="00B17699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 xml:space="preserve">1,3 </w:t>
      </w:r>
      <w:r w:rsidR="00C0446B"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baravaridan</w:t>
      </w:r>
      <w:r w:rsidR="00C044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oshmasligi;</w:t>
      </w:r>
    </w:p>
    <w:p w14:paraId="3EE34B8A" w14:textId="4ACBFE6F" w:rsidR="00C0446B" w:rsidRDefault="00C0446B" w:rsidP="00755D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Jismoniy shaxslardan undiriladigan qishloq xo‘jaligiga mo‘ljallanmagan yerlar uchun yer solig‘</w:t>
      </w:r>
      <w:r w:rsidR="00B17699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summasi 2024-yilda hisoblab chiqarilgan soliq summasining </w:t>
      </w:r>
      <w:r w:rsidRPr="00B17699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/>
        </w:rPr>
        <w:t xml:space="preserve">1,3 </w:t>
      </w:r>
      <w:r w:rsidRPr="00B176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baravari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dan oshmasligi belgilandi.</w:t>
      </w:r>
    </w:p>
    <w:p w14:paraId="0F964A71" w14:textId="680784B2" w:rsidR="00785948" w:rsidRPr="00785948" w:rsidRDefault="00C0446B" w:rsidP="00785948">
      <w:pPr>
        <w:ind w:firstLine="708"/>
        <w:jc w:val="both"/>
        <w:rPr>
          <w:rFonts w:ascii="Times New Roman" w:hAnsi="Times New Roman" w:cs="Times New Roman"/>
          <w:i/>
          <w:noProof/>
          <w:sz w:val="26"/>
          <w:szCs w:val="26"/>
          <w:lang w:val="en-US"/>
        </w:rPr>
      </w:pPr>
      <w:r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Mustaqil baholash o‘tkazilgan va soliq organlariga taqdim etilgan, shu jumladan, o‘tgan ikki yilda o‘tkazilgan mustaqil baholash natijalari jismoniy sha</w:t>
      </w:r>
      <w:r w:rsidR="00785948"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x</w:t>
      </w:r>
      <w:r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slarning tadbirkorlik faoliyati va daromad olish uchun mo‘ljallangan yashash uchun mo‘ljallanmagan ko‘chmas mulk obyektlari 2025-yil uchun jismoniy shaxslarning mol-mulkiga solinadigan soliq bazasi sifatida e’tirof e</w:t>
      </w:r>
      <w:r w:rsidR="00785948"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t</w:t>
      </w:r>
      <w:r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iladi</w:t>
      </w:r>
      <w:r w:rsidR="00785948"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.</w:t>
      </w:r>
    </w:p>
    <w:p w14:paraId="05ABE2C4" w14:textId="32A86B15" w:rsidR="00B50074" w:rsidRPr="00785948" w:rsidRDefault="00785948" w:rsidP="00785948">
      <w:pPr>
        <w:ind w:firstLine="708"/>
        <w:jc w:val="both"/>
        <w:rPr>
          <w:rFonts w:ascii="Times New Roman" w:hAnsi="Times New Roman" w:cs="Times New Roman"/>
          <w:i/>
          <w:noProof/>
          <w:sz w:val="26"/>
          <w:szCs w:val="26"/>
          <w:lang w:val="en-US"/>
        </w:rPr>
      </w:pPr>
      <w:r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 xml:space="preserve">Bunda soliq soliq to‘lovchilar 2025-yil aprel oyiga qadar mustaqil baholashni o‘tkazish bo‘yicha </w:t>
      </w:r>
      <w:r w:rsidRPr="00B17699">
        <w:rPr>
          <w:rFonts w:ascii="Times New Roman" w:hAnsi="Times New Roman" w:cs="Times New Roman"/>
          <w:i/>
          <w:noProof/>
          <w:sz w:val="26"/>
          <w:szCs w:val="26"/>
          <w:u w:val="single"/>
          <w:lang w:val="en-US"/>
        </w:rPr>
        <w:t>soliq organlarini xabardor qilishi lozim</w:t>
      </w:r>
      <w:r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>.</w:t>
      </w:r>
      <w:r w:rsidR="00B50074" w:rsidRPr="00785948">
        <w:rPr>
          <w:rFonts w:ascii="Times New Roman" w:hAnsi="Times New Roman" w:cs="Times New Roman"/>
          <w:i/>
          <w:noProof/>
          <w:sz w:val="26"/>
          <w:szCs w:val="26"/>
          <w:lang w:val="en-US"/>
        </w:rPr>
        <w:t xml:space="preserve"> </w:t>
      </w:r>
    </w:p>
    <w:sectPr w:rsidR="00B50074" w:rsidRPr="00785948" w:rsidSect="00613B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3E7"/>
    <w:multiLevelType w:val="hybridMultilevel"/>
    <w:tmpl w:val="430EF76E"/>
    <w:lvl w:ilvl="0" w:tplc="95DA3A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B06AE7"/>
    <w:multiLevelType w:val="hybridMultilevel"/>
    <w:tmpl w:val="A5703A76"/>
    <w:lvl w:ilvl="0" w:tplc="19D42B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1C66E4"/>
    <w:multiLevelType w:val="multilevel"/>
    <w:tmpl w:val="1494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B5DA0"/>
    <w:multiLevelType w:val="hybridMultilevel"/>
    <w:tmpl w:val="379CC26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7914BA"/>
    <w:multiLevelType w:val="hybridMultilevel"/>
    <w:tmpl w:val="86F4DDE2"/>
    <w:lvl w:ilvl="0" w:tplc="BF0A9C7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AE799C"/>
    <w:multiLevelType w:val="multilevel"/>
    <w:tmpl w:val="336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A5124"/>
    <w:multiLevelType w:val="multilevel"/>
    <w:tmpl w:val="2DB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97861"/>
    <w:multiLevelType w:val="hybridMultilevel"/>
    <w:tmpl w:val="418048E0"/>
    <w:lvl w:ilvl="0" w:tplc="31A6F6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B83346"/>
    <w:multiLevelType w:val="multilevel"/>
    <w:tmpl w:val="7EF86C5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70"/>
    <w:rsid w:val="0001532C"/>
    <w:rsid w:val="000222B1"/>
    <w:rsid w:val="00027333"/>
    <w:rsid w:val="000340AE"/>
    <w:rsid w:val="0004759A"/>
    <w:rsid w:val="00071FB6"/>
    <w:rsid w:val="00081CCA"/>
    <w:rsid w:val="00082E8C"/>
    <w:rsid w:val="00085887"/>
    <w:rsid w:val="000A0CD0"/>
    <w:rsid w:val="000A45DB"/>
    <w:rsid w:val="000B469E"/>
    <w:rsid w:val="000D58F6"/>
    <w:rsid w:val="000D7B4F"/>
    <w:rsid w:val="000E4CAC"/>
    <w:rsid w:val="00146EC7"/>
    <w:rsid w:val="00161E8F"/>
    <w:rsid w:val="001626FC"/>
    <w:rsid w:val="001A2167"/>
    <w:rsid w:val="001B572A"/>
    <w:rsid w:val="001C075C"/>
    <w:rsid w:val="002005C9"/>
    <w:rsid w:val="00214274"/>
    <w:rsid w:val="00224BAF"/>
    <w:rsid w:val="0024038C"/>
    <w:rsid w:val="00262230"/>
    <w:rsid w:val="00266986"/>
    <w:rsid w:val="002673AE"/>
    <w:rsid w:val="002B5071"/>
    <w:rsid w:val="002C6F14"/>
    <w:rsid w:val="002D4247"/>
    <w:rsid w:val="002F36F1"/>
    <w:rsid w:val="00302B3D"/>
    <w:rsid w:val="0031534B"/>
    <w:rsid w:val="003465BF"/>
    <w:rsid w:val="00370C62"/>
    <w:rsid w:val="00383696"/>
    <w:rsid w:val="003B6338"/>
    <w:rsid w:val="003C2B9F"/>
    <w:rsid w:val="003E32A9"/>
    <w:rsid w:val="003F4466"/>
    <w:rsid w:val="004201D5"/>
    <w:rsid w:val="004454C8"/>
    <w:rsid w:val="00454DCA"/>
    <w:rsid w:val="00486085"/>
    <w:rsid w:val="004A2F72"/>
    <w:rsid w:val="004B22C0"/>
    <w:rsid w:val="004C4136"/>
    <w:rsid w:val="004C418C"/>
    <w:rsid w:val="004C5CA9"/>
    <w:rsid w:val="004D6299"/>
    <w:rsid w:val="004E2A78"/>
    <w:rsid w:val="0052224F"/>
    <w:rsid w:val="00526A50"/>
    <w:rsid w:val="0053283B"/>
    <w:rsid w:val="0053631F"/>
    <w:rsid w:val="00536770"/>
    <w:rsid w:val="00547D90"/>
    <w:rsid w:val="00555FD9"/>
    <w:rsid w:val="00571BD9"/>
    <w:rsid w:val="005872C1"/>
    <w:rsid w:val="00593458"/>
    <w:rsid w:val="00613BAC"/>
    <w:rsid w:val="00683A48"/>
    <w:rsid w:val="006973A6"/>
    <w:rsid w:val="006A12A9"/>
    <w:rsid w:val="006C13BC"/>
    <w:rsid w:val="006C6BC5"/>
    <w:rsid w:val="006D7D94"/>
    <w:rsid w:val="006E6E2F"/>
    <w:rsid w:val="0072611A"/>
    <w:rsid w:val="00730844"/>
    <w:rsid w:val="00755D37"/>
    <w:rsid w:val="00767F5F"/>
    <w:rsid w:val="0077387F"/>
    <w:rsid w:val="007740BA"/>
    <w:rsid w:val="007803B0"/>
    <w:rsid w:val="00785948"/>
    <w:rsid w:val="007869BE"/>
    <w:rsid w:val="007A15B3"/>
    <w:rsid w:val="007A2CD7"/>
    <w:rsid w:val="007D2341"/>
    <w:rsid w:val="007F07A3"/>
    <w:rsid w:val="00816581"/>
    <w:rsid w:val="00820662"/>
    <w:rsid w:val="008576C7"/>
    <w:rsid w:val="00863B95"/>
    <w:rsid w:val="00870CBD"/>
    <w:rsid w:val="008744C3"/>
    <w:rsid w:val="008A52CC"/>
    <w:rsid w:val="008C1791"/>
    <w:rsid w:val="008D65D1"/>
    <w:rsid w:val="009069EF"/>
    <w:rsid w:val="00910D57"/>
    <w:rsid w:val="009472B4"/>
    <w:rsid w:val="0096118E"/>
    <w:rsid w:val="00967407"/>
    <w:rsid w:val="009E41F0"/>
    <w:rsid w:val="009E4EF5"/>
    <w:rsid w:val="00A062C1"/>
    <w:rsid w:val="00A77929"/>
    <w:rsid w:val="00A83444"/>
    <w:rsid w:val="00A91943"/>
    <w:rsid w:val="00A931ED"/>
    <w:rsid w:val="00AB35D8"/>
    <w:rsid w:val="00AD4DE5"/>
    <w:rsid w:val="00B00444"/>
    <w:rsid w:val="00B17699"/>
    <w:rsid w:val="00B23615"/>
    <w:rsid w:val="00B36608"/>
    <w:rsid w:val="00B407AD"/>
    <w:rsid w:val="00B50074"/>
    <w:rsid w:val="00B578A1"/>
    <w:rsid w:val="00B6736B"/>
    <w:rsid w:val="00B77D42"/>
    <w:rsid w:val="00C0446B"/>
    <w:rsid w:val="00C22018"/>
    <w:rsid w:val="00C2725F"/>
    <w:rsid w:val="00C3340E"/>
    <w:rsid w:val="00C5250E"/>
    <w:rsid w:val="00C610CA"/>
    <w:rsid w:val="00C721B0"/>
    <w:rsid w:val="00C7362E"/>
    <w:rsid w:val="00CA508C"/>
    <w:rsid w:val="00CF2E57"/>
    <w:rsid w:val="00D008FE"/>
    <w:rsid w:val="00D07013"/>
    <w:rsid w:val="00D146C3"/>
    <w:rsid w:val="00D624D9"/>
    <w:rsid w:val="00D65588"/>
    <w:rsid w:val="00D67621"/>
    <w:rsid w:val="00D7623F"/>
    <w:rsid w:val="00DC7D0E"/>
    <w:rsid w:val="00DD30A4"/>
    <w:rsid w:val="00DD5D4D"/>
    <w:rsid w:val="00DD5F42"/>
    <w:rsid w:val="00E1698F"/>
    <w:rsid w:val="00E23B4A"/>
    <w:rsid w:val="00E30189"/>
    <w:rsid w:val="00E6778F"/>
    <w:rsid w:val="00E73612"/>
    <w:rsid w:val="00E74A73"/>
    <w:rsid w:val="00E80417"/>
    <w:rsid w:val="00E917FD"/>
    <w:rsid w:val="00EE0DBE"/>
    <w:rsid w:val="00EE3CAD"/>
    <w:rsid w:val="00EF39CC"/>
    <w:rsid w:val="00EF6364"/>
    <w:rsid w:val="00F00605"/>
    <w:rsid w:val="00F10DEC"/>
    <w:rsid w:val="00F54D5F"/>
    <w:rsid w:val="00F8519D"/>
    <w:rsid w:val="00FB1B13"/>
    <w:rsid w:val="00FB7DCC"/>
    <w:rsid w:val="00FD7562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557B"/>
  <w15:chartTrackingRefBased/>
  <w15:docId w15:val="{32CC443C-8ECF-484E-B193-85AD268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7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6770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683A48"/>
    <w:rPr>
      <w:color w:val="808080"/>
    </w:rPr>
  </w:style>
  <w:style w:type="paragraph" w:styleId="a5">
    <w:name w:val="List Paragraph"/>
    <w:basedOn w:val="a"/>
    <w:uiPriority w:val="34"/>
    <w:qFormat/>
    <w:rsid w:val="00A931ED"/>
    <w:pPr>
      <w:ind w:left="720"/>
      <w:contextualSpacing/>
    </w:pPr>
  </w:style>
  <w:style w:type="table" w:styleId="a6">
    <w:name w:val="Table Grid"/>
    <w:basedOn w:val="a1"/>
    <w:uiPriority w:val="39"/>
    <w:rsid w:val="00F0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Сноска (2)_"/>
    <w:basedOn w:val="a0"/>
    <w:link w:val="20"/>
    <w:rsid w:val="00C2725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C2725F"/>
    <w:pPr>
      <w:widowControl w:val="0"/>
      <w:shd w:val="clear" w:color="auto" w:fill="FFFFFF"/>
      <w:spacing w:after="0" w:line="341" w:lineRule="exact"/>
      <w:ind w:firstLine="740"/>
      <w:jc w:val="both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7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8525-6BD9-40F7-A35D-28364C63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Sevinchov Ismatullo Musaevich</dc:creator>
  <cp:keywords/>
  <dc:description/>
  <cp:lastModifiedBy>Xalikova Shaxnoza Xolmumin qizi</cp:lastModifiedBy>
  <cp:revision>2</cp:revision>
  <dcterms:created xsi:type="dcterms:W3CDTF">2025-01-10T11:46:00Z</dcterms:created>
  <dcterms:modified xsi:type="dcterms:W3CDTF">2025-01-10T11:46:00Z</dcterms:modified>
</cp:coreProperties>
</file>