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1A85">
      <w:pPr>
        <w:rPr>
          <w:rFonts w:eastAsia="Times New Roman"/>
        </w:rPr>
      </w:pPr>
      <w:r>
        <w:rPr>
          <w:rFonts w:eastAsia="Times New Roman"/>
        </w:rPr>
        <w:t>﻿</w:t>
      </w:r>
    </w:p>
    <w:p w:rsidR="00000000" w:rsidRDefault="008C1A85">
      <w:pPr>
        <w:shd w:val="clear" w:color="auto" w:fill="FFFFFF"/>
        <w:jc w:val="center"/>
        <w:divId w:val="39285403"/>
        <w:rPr>
          <w:rFonts w:eastAsia="Times New Roman"/>
          <w:caps/>
          <w:color w:val="000080"/>
        </w:rPr>
      </w:pPr>
      <w:bookmarkStart w:id="0" w:name="_GoBack"/>
      <w:bookmarkEnd w:id="0"/>
      <w:r>
        <w:rPr>
          <w:rFonts w:eastAsia="Times New Roman"/>
          <w:caps/>
          <w:color w:val="000080"/>
        </w:rPr>
        <w:t>Закон Республики Узбекистан</w:t>
      </w:r>
    </w:p>
    <w:p w:rsidR="00000000" w:rsidRDefault="008C1A85">
      <w:pPr>
        <w:shd w:val="clear" w:color="auto" w:fill="FFFFFF"/>
        <w:jc w:val="center"/>
        <w:divId w:val="1311906888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О Государственном бюджете Республики Узбеки</w:t>
      </w:r>
      <w:r>
        <w:rPr>
          <w:rFonts w:eastAsia="Times New Roman"/>
          <w:b/>
          <w:bCs/>
          <w:caps/>
          <w:color w:val="000080"/>
        </w:rPr>
        <w:t>стан на 2020 год</w:t>
      </w:r>
    </w:p>
    <w:p w:rsidR="00000000" w:rsidRDefault="008C1A85">
      <w:pPr>
        <w:shd w:val="clear" w:color="auto" w:fill="FFFFFF"/>
        <w:divId w:val="399713117"/>
        <w:rPr>
          <w:rFonts w:eastAsia="Times New Roman"/>
          <w:color w:val="000080"/>
        </w:rPr>
      </w:pPr>
      <w:r>
        <w:rPr>
          <w:rFonts w:eastAsia="Times New Roman"/>
          <w:color w:val="000080"/>
        </w:rPr>
        <w:t xml:space="preserve">Принят Законодательной палатой 21 ноября 2019 года </w:t>
      </w:r>
      <w:r>
        <w:rPr>
          <w:rFonts w:eastAsia="Times New Roman"/>
          <w:color w:val="000080"/>
        </w:rPr>
        <w:br/>
        <w:t xml:space="preserve">Одобрен Сенатом 30 ноября 2019 года </w:t>
      </w:r>
    </w:p>
    <w:p w:rsidR="00000000" w:rsidRDefault="008C1A85">
      <w:pPr>
        <w:shd w:val="clear" w:color="auto" w:fill="FFFFFF"/>
        <w:jc w:val="center"/>
        <w:divId w:val="117993173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1. Общие положения</w:t>
      </w:r>
    </w:p>
    <w:p w:rsidR="00000000" w:rsidRDefault="008C1A85">
      <w:pPr>
        <w:shd w:val="clear" w:color="auto" w:fill="FFFFFF"/>
        <w:ind w:firstLine="851"/>
        <w:jc w:val="both"/>
        <w:divId w:val="181987974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1. </w:t>
      </w:r>
      <w:r>
        <w:rPr>
          <w:rStyle w:val="clausesuff1"/>
          <w:rFonts w:eastAsia="Times New Roman"/>
          <w:b/>
          <w:bCs/>
          <w:color w:val="000080"/>
        </w:rPr>
        <w:t>Цель настоящего Закона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Целью настоящего Закона является регулирование отношений, связанных с формированием и исполн</w:t>
      </w:r>
      <w:r>
        <w:rPr>
          <w:rFonts w:eastAsia="Times New Roman"/>
          <w:color w:val="000000"/>
        </w:rPr>
        <w:t>ением Государственного бюджета Республики Узбекистан на 2020 год.</w:t>
      </w:r>
    </w:p>
    <w:p w:rsidR="00000000" w:rsidRDefault="008C1A85">
      <w:pPr>
        <w:shd w:val="clear" w:color="auto" w:fill="FFFFFF"/>
        <w:ind w:firstLine="851"/>
        <w:jc w:val="both"/>
        <w:divId w:val="24080176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2. </w:t>
      </w:r>
      <w:r>
        <w:rPr>
          <w:rStyle w:val="clausesuff1"/>
          <w:rFonts w:eastAsia="Times New Roman"/>
          <w:b/>
          <w:bCs/>
          <w:color w:val="000080"/>
        </w:rPr>
        <w:t>Основные понятия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настоящем Законе применяются следующие основные понятия: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распорядитель бюджетных средств первого уровня</w:t>
      </w:r>
      <w:r>
        <w:rPr>
          <w:rFonts w:eastAsia="Times New Roman"/>
          <w:color w:val="000000"/>
        </w:rPr>
        <w:t xml:space="preserve"> — юридическое лицо, распределяющее бюджетные средства, вы</w:t>
      </w:r>
      <w:r>
        <w:rPr>
          <w:rFonts w:eastAsia="Times New Roman"/>
          <w:color w:val="000000"/>
        </w:rPr>
        <w:t>деляемые из республиканского бюджета Республики Узбекистан в размере, установленном законом;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распорядитель бюджетных средств второго уровня</w:t>
      </w:r>
      <w:r>
        <w:rPr>
          <w:rFonts w:eastAsia="Times New Roman"/>
          <w:color w:val="000000"/>
        </w:rPr>
        <w:t xml:space="preserve"> — юридическое лицо, прикрепляемое Кабинетом Министров Республики Узбекистан к распорядителям бюджетных средств перво</w:t>
      </w:r>
      <w:r>
        <w:rPr>
          <w:rFonts w:eastAsia="Times New Roman"/>
          <w:color w:val="000000"/>
        </w:rPr>
        <w:t>го уровня и распределяющее выделенные ему бюджетные средства;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t>общий фискальный баланс</w:t>
      </w:r>
      <w:r>
        <w:rPr>
          <w:rFonts w:eastAsia="Times New Roman"/>
          <w:color w:val="000000"/>
        </w:rPr>
        <w:t xml:space="preserve"> — совокупный баланс, включающий в себя Консолидированный бюджет Республики Узбекистан и расходы, осуществляемые за счет внешних заимствований, привлеченных для реализации</w:t>
      </w:r>
      <w:r>
        <w:rPr>
          <w:rFonts w:eastAsia="Times New Roman"/>
          <w:color w:val="000000"/>
        </w:rPr>
        <w:t xml:space="preserve"> государственных программ и погашаемых за счет средств Государственного бюджета Республики Узбекистан;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Style w:val="a6"/>
          <w:rFonts w:eastAsia="Times New Roman"/>
          <w:color w:val="000000"/>
        </w:rPr>
        <w:lastRenderedPageBreak/>
        <w:t>территориальный распорядитель бюджетных средств</w:t>
      </w:r>
      <w:r>
        <w:rPr>
          <w:rFonts w:eastAsia="Times New Roman"/>
          <w:color w:val="000000"/>
        </w:rPr>
        <w:t xml:space="preserve"> — юридическое лицо, имеющее подведомственные организации, получающие средства из республиканского бюджета</w:t>
      </w:r>
      <w:r>
        <w:rPr>
          <w:rFonts w:eastAsia="Times New Roman"/>
          <w:color w:val="000000"/>
        </w:rPr>
        <w:t xml:space="preserve"> Республики Каракалпакстан, областных бюджетов областей, городского бюджета города Ташкента и бюджетов районов и городов, а также бюджетная организация или получатель бюджетных средств, финансируемые из республиканского бюджета Республики Каракалпакстан, о</w:t>
      </w:r>
      <w:r>
        <w:rPr>
          <w:rFonts w:eastAsia="Times New Roman"/>
          <w:color w:val="000000"/>
        </w:rPr>
        <w:t>бластных бюджетов областей, городского бюджета города Ташкента и бюджетов районов и городов.</w:t>
      </w:r>
    </w:p>
    <w:p w:rsidR="00000000" w:rsidRDefault="008C1A85">
      <w:pPr>
        <w:shd w:val="clear" w:color="auto" w:fill="FFFFFF"/>
        <w:ind w:firstLine="851"/>
        <w:jc w:val="both"/>
        <w:divId w:val="74685033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3. </w:t>
      </w:r>
      <w:r>
        <w:rPr>
          <w:rStyle w:val="clausesuff1"/>
          <w:rFonts w:eastAsia="Times New Roman"/>
          <w:b/>
          <w:bCs/>
          <w:color w:val="000080"/>
        </w:rPr>
        <w:t>Особенности распределения бюджетных полномочий между участниками бюджетного процесса в 2020 году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Палаты Олий Мажлиса Республики Узбекистан (далее — палат</w:t>
      </w:r>
      <w:r>
        <w:rPr>
          <w:rFonts w:eastAsia="Times New Roman"/>
          <w:color w:val="000000"/>
        </w:rPr>
        <w:t>ы Олий Мажлиса):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утверждают ассигнования, выделяемые из республиканского бюджета Республики Узбекистан (далее — республиканский бюджет) для распорядителей бюджетных средств первого уровня;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утверждают размеры выравнивающих межбюджетных трансфертов, выделяем</w:t>
      </w:r>
      <w:r>
        <w:rPr>
          <w:rFonts w:eastAsia="Times New Roman"/>
          <w:color w:val="000000"/>
        </w:rPr>
        <w:t>ых из республиканского бюджета бюджету Республики Каракалпакстан, местным бюджетам областей и города Ташкента;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вносят изменения в ассигнования, выделяемые из республиканского бюджета, в соответствии с настоящим Законом.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Кабинет Министров Республики Узбекис</w:t>
      </w:r>
      <w:r>
        <w:rPr>
          <w:rFonts w:eastAsia="Times New Roman"/>
          <w:color w:val="000000"/>
        </w:rPr>
        <w:t>тан (далее — Кабинет Министров):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утверждает перечень распорядителей бюджетных средств первого и второго уровней, являющийся основанием для использования при подготовке проекта Государственного бюджета Республики Узбекистан и выделении ассигнований из республиканского бюджета;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утверждает п</w:t>
      </w:r>
      <w:r>
        <w:rPr>
          <w:rFonts w:eastAsia="Times New Roman"/>
          <w:color w:val="000000"/>
        </w:rPr>
        <w:t>редельные размеры бюджетных ассигнований для распорядителей бюджетных средств второго уровня в пределах ассигнований, выделяемых из республиканского бюджета для распорядителей бюджетных средств первого уровня;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пределах полномочий, предусмотренных настоящ</w:t>
      </w:r>
      <w:r>
        <w:rPr>
          <w:rFonts w:eastAsia="Times New Roman"/>
          <w:color w:val="000000"/>
        </w:rPr>
        <w:t>им Законом, одобряет предложения о внесении изменений в бюджетные ассигнования, выделяемые для распорядителей бюджетных средств первого и второго уровней.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Жокаргы Кенес Республики Каракалпакстан, Кенгаши народных депутатов областей и города Ташкента, район</w:t>
      </w:r>
      <w:r>
        <w:rPr>
          <w:rFonts w:eastAsia="Times New Roman"/>
          <w:color w:val="000000"/>
        </w:rPr>
        <w:t>ов и городов соответственно: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а) утверждают: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предельные размеры бюджетных ассигнований, выделяемых для территориальных распорядителей бюджетных средств из бюджета Республики Каракалпакстан, местных бюджетов областей и города Ташкента, бюджетов районов и гор</w:t>
      </w:r>
      <w:r>
        <w:rPr>
          <w:rFonts w:eastAsia="Times New Roman"/>
          <w:color w:val="000000"/>
        </w:rPr>
        <w:t>одов;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предельные размеры выравнивающих межбюджетных трансфертов, выделяемых из республиканского бюджета Республики Каракалпакстан, областных бюджетов областей и городского бюджета города Ташкента бюджетам районов и городов;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б) одобряют прогнозы доходов рес</w:t>
      </w:r>
      <w:r>
        <w:rPr>
          <w:rFonts w:eastAsia="Times New Roman"/>
          <w:color w:val="000000"/>
        </w:rPr>
        <w:t>публиканского бюджета Республики Каракалпакстан, областных бюджетов областей, городского бюджета города Ташкента и бюджетов районов и городов;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в) принимают решения о внесении изменений в бюджет Республики Каракалпакстан, местные бюджеты областей и города Т</w:t>
      </w:r>
      <w:r>
        <w:rPr>
          <w:rFonts w:eastAsia="Times New Roman"/>
          <w:color w:val="000000"/>
        </w:rPr>
        <w:t>ашкента, бюджеты районов и городов в порядке, установленном настоящим Законом.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Министерство финансов Республики Узбекистан (далее — Министерство финансов):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а) на основе предложений распорядителей бюджетных средств первого уровня: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месячный срок со дня при</w:t>
      </w:r>
      <w:r>
        <w:rPr>
          <w:rFonts w:eastAsia="Times New Roman"/>
          <w:color w:val="000000"/>
        </w:rPr>
        <w:t xml:space="preserve">нятия настоящего Закона вносит на утверждение в Кабинет Министров предельные размеры бюджетных ассигнований для распорядителей бюджетных средств второго уровня в пределах утвержденных ассигнований, выделяемых из республиканского бюджета для распорядителей </w:t>
      </w:r>
      <w:r>
        <w:rPr>
          <w:rFonts w:eastAsia="Times New Roman"/>
          <w:color w:val="000000"/>
        </w:rPr>
        <w:t>бюджетных средств первого уровня;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вносит на одобрение в Кабинет Министров предложения о внесении изменений в утвержденные бюджетные ассигнования для распорядителей бюджетных средств второго уровня;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б) утверждает перечень территориальных распорядителей бюдж</w:t>
      </w:r>
      <w:r>
        <w:rPr>
          <w:rFonts w:eastAsia="Times New Roman"/>
          <w:color w:val="000000"/>
        </w:rPr>
        <w:t>етных средств для подготовки проектов бюджета Республики Каракалпакстан, местных бюджетов областей и города Ташкента, бюджетов районов и городов и использования в качестве обоснования по бюджетным средствам, выделяемым Жокаргы Кенесом Республики Каракалпак</w:t>
      </w:r>
      <w:r>
        <w:rPr>
          <w:rFonts w:eastAsia="Times New Roman"/>
          <w:color w:val="000000"/>
        </w:rPr>
        <w:t>стан, Кенгашами народных депутатов областей и города Ташкента, районов и городов;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в) направляет рекомендации по подготовке проектов местных бюджетов Совету Министров Республики Каракалпакстан, хокимиятам областей и города Ташкента.</w:t>
      </w:r>
    </w:p>
    <w:p w:rsidR="00000000" w:rsidRDefault="008C1A85">
      <w:pPr>
        <w:shd w:val="clear" w:color="auto" w:fill="FFFFFF"/>
        <w:ind w:firstLine="851"/>
        <w:jc w:val="both"/>
        <w:divId w:val="179590767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4. </w:t>
      </w:r>
      <w:r>
        <w:rPr>
          <w:rStyle w:val="clausesuff1"/>
          <w:rFonts w:eastAsia="Times New Roman"/>
          <w:b/>
          <w:bCs/>
          <w:color w:val="000080"/>
        </w:rPr>
        <w:t xml:space="preserve">Использование </w:t>
      </w:r>
      <w:r>
        <w:rPr>
          <w:rStyle w:val="clausesuff1"/>
          <w:rFonts w:eastAsia="Times New Roman"/>
          <w:b/>
          <w:bCs/>
          <w:color w:val="000080"/>
        </w:rPr>
        <w:t>ассигнований, выделяемых из республиканского бюджета для распорядителей бюджетных средств первого уровня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Ассигнования, выделяемые из республиканского бюджета распорядителям бюджетных средств первого уровня, установленные настоящим Законом, используются тол</w:t>
      </w:r>
      <w:r>
        <w:rPr>
          <w:rFonts w:eastAsia="Times New Roman"/>
          <w:color w:val="000000"/>
        </w:rPr>
        <w:t>ько в течение 2020 финансового года.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Ассигнования, выделяемые из республиканского бюджета распорядителям бюджетных средств первого уровня, оставшиеся неиспользованными до конца 2020 финансового года, не переносятся на следующий финансовый год.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Формирование</w:t>
      </w:r>
      <w:r>
        <w:rPr>
          <w:rFonts w:eastAsia="Times New Roman"/>
          <w:color w:val="000000"/>
        </w:rPr>
        <w:t xml:space="preserve"> отраслевых программ развития, а также принятие юридических и финансовых обязательств на текущий год со стороны распорядителей бюджетных средств первого уровня осуществляется только в пределах размеров ассигнований, выделяемых им из республиканского бюджет</w:t>
      </w:r>
      <w:r>
        <w:rPr>
          <w:rFonts w:eastAsia="Times New Roman"/>
          <w:color w:val="000000"/>
        </w:rPr>
        <w:t>а.</w:t>
      </w:r>
    </w:p>
    <w:p w:rsidR="00000000" w:rsidRDefault="008C1A85">
      <w:pPr>
        <w:shd w:val="clear" w:color="auto" w:fill="FFFFFF"/>
        <w:ind w:firstLine="851"/>
        <w:jc w:val="both"/>
        <w:divId w:val="42187930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5. </w:t>
      </w:r>
      <w:r>
        <w:rPr>
          <w:rStyle w:val="clausesuff1"/>
          <w:rFonts w:eastAsia="Times New Roman"/>
          <w:b/>
          <w:bCs/>
          <w:color w:val="000080"/>
        </w:rPr>
        <w:t>Порядок пересмотра ассигнований, выделяемых из республиканского бюджета для распорядителей бюджетных средств первого уровня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Кабинет Министров одновременно с предложениями о внесении изменений в настоящий Закон представляет в Законодательную палату Олий Мажлиса Республики Узбекистан (далее — Законодательная палата) материалы с обоснованием вносимых изменений, а также информацию </w:t>
      </w:r>
      <w:r>
        <w:rPr>
          <w:rFonts w:eastAsia="Times New Roman"/>
          <w:color w:val="000000"/>
        </w:rPr>
        <w:t>об обновленных макроэкономических прогнозах и изменений налогово-бюджетной политики.</w:t>
      </w:r>
    </w:p>
    <w:p w:rsidR="00000000" w:rsidRDefault="008C1A85">
      <w:pPr>
        <w:shd w:val="clear" w:color="auto" w:fill="FFFFFF"/>
        <w:ind w:firstLine="851"/>
        <w:jc w:val="both"/>
        <w:divId w:val="738672299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6. </w:t>
      </w:r>
      <w:r>
        <w:rPr>
          <w:rStyle w:val="clausesuff1"/>
          <w:rFonts w:eastAsia="Times New Roman"/>
          <w:b/>
          <w:bCs/>
          <w:color w:val="000080"/>
        </w:rPr>
        <w:t>Внесение изменений в ассигнования, выделяемые из республиканского бюджета для распорядителей бюджетных средств первого уровня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Перераспределение ассигнований, выд</w:t>
      </w:r>
      <w:r>
        <w:rPr>
          <w:rFonts w:eastAsia="Times New Roman"/>
          <w:color w:val="000000"/>
        </w:rPr>
        <w:t xml:space="preserve">еленных из республиканского бюджета для распорядителя бюджетных средств первого уровня, в пользу другого распорядителя бюджетных средств первого уровня осуществляется в размерах (за исключением случаев, указанных в </w:t>
      </w:r>
      <w:hyperlink r:id="rId4" w:history="1">
        <w:r>
          <w:rPr>
            <w:rFonts w:eastAsia="Times New Roman"/>
            <w:color w:val="008080"/>
          </w:rPr>
          <w:t xml:space="preserve">части второй </w:t>
        </w:r>
      </w:hyperlink>
      <w:r>
        <w:rPr>
          <w:rFonts w:eastAsia="Times New Roman"/>
          <w:color w:val="000000"/>
        </w:rPr>
        <w:t>настоящей статьи):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 и более процентов — палатами Олий Мажлиса;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менее 10 процентов — Кабинетом Министров на основании предложения Министерства финансов, за исключением случаев, установленных в части второй настоящей статьи.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Следующие ср</w:t>
      </w:r>
      <w:r>
        <w:rPr>
          <w:rFonts w:eastAsia="Times New Roman"/>
          <w:color w:val="000000"/>
        </w:rPr>
        <w:t>едства, предусмотренные в соответствии с настоящим Законом в составе ассигнований, выделяемых из республиканского бюджета Министерству финансов, перераспределяются Министерством финансов путем увеличения размеров ассигнований, выделяемых из республиканског</w:t>
      </w:r>
      <w:r>
        <w:rPr>
          <w:rFonts w:eastAsia="Times New Roman"/>
          <w:color w:val="000000"/>
        </w:rPr>
        <w:t>о бюджета для распорядителей бюджетных средств первого уровня, и межбюджетных трансфертов бюджету Республики Каракалпакстан, местным бюджетам областей и города Ташкента: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средства на расходы, связанные с повышением размеров заработной платы, пенсий, стипенд</w:t>
      </w:r>
      <w:r>
        <w:rPr>
          <w:rFonts w:eastAsia="Times New Roman"/>
          <w:color w:val="000000"/>
        </w:rPr>
        <w:t>ий и пособий, тарифов на отдельные услуги, пособий по беременности и родам работникам бюджетных организаций;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средства на расходы по социально-экономическому развитию регионов в соответствии с поручениями Президента Республики Узбекистан;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дополнительные капитальные вложения на проектирование, строительство (реконструкцию) и оснащение объектов при реализации программ «Обод кишлок», «Обод махалла» и нераспределенные средства Инвестиционной программы Республики Узбекистан.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Запрещается направля</w:t>
      </w:r>
      <w:r>
        <w:rPr>
          <w:rFonts w:eastAsia="Times New Roman"/>
          <w:color w:val="000000"/>
        </w:rPr>
        <w:t>ть средства, предусмотренные на капитальные вложения на проектирование, строительство (реконструкцию) и оснащение объектов, на покрытие текущих расходов.</w:t>
      </w:r>
    </w:p>
    <w:p w:rsidR="00000000" w:rsidRDefault="008C1A85">
      <w:pPr>
        <w:shd w:val="clear" w:color="auto" w:fill="FFFFFF"/>
        <w:ind w:firstLine="851"/>
        <w:jc w:val="both"/>
        <w:divId w:val="96052668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7. </w:t>
      </w:r>
      <w:r>
        <w:rPr>
          <w:rStyle w:val="clausesuff1"/>
          <w:rFonts w:eastAsia="Times New Roman"/>
          <w:b/>
          <w:bCs/>
          <w:color w:val="000080"/>
        </w:rPr>
        <w:t>Внесение изменений в бюджетные ассигнования для распорядителей бюджетных средств второго уро</w:t>
      </w:r>
      <w:r>
        <w:rPr>
          <w:rStyle w:val="clausesuff1"/>
          <w:rFonts w:eastAsia="Times New Roman"/>
          <w:b/>
          <w:bCs/>
          <w:color w:val="000080"/>
        </w:rPr>
        <w:t>вня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Перераспределение бюджетных ассигнований, выделенных для одного распорядителя бюджетных средств второго уровня, в пользу другого распорядителя бюджетных средств второго уровня осуществляется </w:t>
      </w:r>
      <w:r>
        <w:rPr>
          <w:rFonts w:eastAsia="Times New Roman"/>
          <w:color w:val="000000"/>
        </w:rPr>
        <w:lastRenderedPageBreak/>
        <w:t>в пределах бюджетных ассигнований, выделенных для распорядите</w:t>
      </w:r>
      <w:r>
        <w:rPr>
          <w:rFonts w:eastAsia="Times New Roman"/>
          <w:color w:val="000000"/>
        </w:rPr>
        <w:t>лей бюджетных средств первого уровня, в размере: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 и более процентов — Кабинетом Министров по предложению Министерства финансов;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менее 10 процентов — Министерством финансов по предложению соответствующего распорядителя бюджетных средств первого уровня.</w:t>
      </w:r>
    </w:p>
    <w:p w:rsidR="00000000" w:rsidRDefault="008C1A85">
      <w:pPr>
        <w:shd w:val="clear" w:color="auto" w:fill="FFFFFF"/>
        <w:ind w:firstLine="851"/>
        <w:jc w:val="both"/>
        <w:divId w:val="125582212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>Ст</w:t>
      </w:r>
      <w:r>
        <w:rPr>
          <w:rStyle w:val="clauseprfx1"/>
          <w:rFonts w:eastAsia="Times New Roman"/>
          <w:b/>
          <w:bCs/>
          <w:color w:val="000080"/>
        </w:rPr>
        <w:t xml:space="preserve">атья 8. </w:t>
      </w:r>
      <w:r>
        <w:rPr>
          <w:rStyle w:val="clausesuff1"/>
          <w:rFonts w:eastAsia="Times New Roman"/>
          <w:b/>
          <w:bCs/>
          <w:color w:val="000080"/>
        </w:rPr>
        <w:t>Внесение изменений в ассигнования, выделяемые для территориальных распорядителей бюджетных средств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Перераспределение ассигнований, выделенных для одного территориального распорядителя бюджетных средств, в пользу другого территориального распорядите</w:t>
      </w:r>
      <w:r>
        <w:rPr>
          <w:rFonts w:eastAsia="Times New Roman"/>
          <w:color w:val="000000"/>
        </w:rPr>
        <w:t>ля бюджетных средств осуществляется в пределах выделенных бюджетных ассигнований в размере: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 и более процентов — Жокаргы Кенесом Республики Каракалпакстан, Кенгашами народных депутатов областей и города Ташкента, районов и городов;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менее 10 процентов — С</w:t>
      </w:r>
      <w:r>
        <w:rPr>
          <w:rFonts w:eastAsia="Times New Roman"/>
          <w:color w:val="000000"/>
        </w:rPr>
        <w:t>оветом Министров Республики Каракалпакстан, хокимиятами областей и города Ташкента, районов и городов.</w:t>
      </w:r>
    </w:p>
    <w:p w:rsidR="00000000" w:rsidRDefault="008C1A85">
      <w:pPr>
        <w:shd w:val="clear" w:color="auto" w:fill="FFFFFF"/>
        <w:jc w:val="center"/>
        <w:divId w:val="86391003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2. Параметры Консолидированного бюджета Республики Узбекистан</w:t>
      </w:r>
    </w:p>
    <w:p w:rsidR="00000000" w:rsidRDefault="008C1A85">
      <w:pPr>
        <w:shd w:val="clear" w:color="auto" w:fill="FFFFFF"/>
        <w:ind w:firstLine="851"/>
        <w:jc w:val="both"/>
        <w:divId w:val="7347273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9. </w:t>
      </w:r>
      <w:r>
        <w:rPr>
          <w:rStyle w:val="clausesuff1"/>
          <w:rFonts w:eastAsia="Times New Roman"/>
          <w:b/>
          <w:bCs/>
          <w:color w:val="000080"/>
        </w:rPr>
        <w:t>Доходы и расходы Консолидированного бюджета Республики Узбекистан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Принять к</w:t>
      </w:r>
      <w:r>
        <w:rPr>
          <w:rFonts w:eastAsia="Times New Roman"/>
          <w:color w:val="000000"/>
        </w:rPr>
        <w:t xml:space="preserve"> сведению сводные параметры Консолидированного бюджета Республики Узбекистан на 2020 год и бюджетные ориентиры на 2021-2022 годы согласно </w:t>
      </w:r>
      <w:hyperlink r:id="rId5" w:history="1">
        <w:r>
          <w:rPr>
            <w:rFonts w:eastAsia="Times New Roman"/>
            <w:color w:val="008080"/>
          </w:rPr>
          <w:t>приложению № 1</w:t>
        </w:r>
      </w:hyperlink>
      <w:r>
        <w:rPr>
          <w:rFonts w:eastAsia="Times New Roman"/>
          <w:color w:val="000000"/>
        </w:rPr>
        <w:t>, подготовленные на основе прогноза основных макроэкономи</w:t>
      </w:r>
      <w:r>
        <w:rPr>
          <w:rFonts w:eastAsia="Times New Roman"/>
          <w:color w:val="000000"/>
        </w:rPr>
        <w:t xml:space="preserve">ческих показателей развития Республики Узбекистан на 2020 год, и целевые ориентиры на 2021-2022 годы согласно </w:t>
      </w:r>
      <w:hyperlink r:id="rId6" w:history="1">
        <w:r>
          <w:rPr>
            <w:rFonts w:eastAsia="Times New Roman"/>
            <w:color w:val="008080"/>
          </w:rPr>
          <w:t>приложению № 2</w:t>
        </w:r>
      </w:hyperlink>
      <w:r>
        <w:rPr>
          <w:rFonts w:eastAsia="Times New Roman"/>
          <w:color w:val="000000"/>
        </w:rPr>
        <w:t>.</w:t>
      </w:r>
    </w:p>
    <w:p w:rsidR="00000000" w:rsidRDefault="008C1A85">
      <w:pPr>
        <w:shd w:val="clear" w:color="auto" w:fill="FFFFFF"/>
        <w:ind w:firstLine="851"/>
        <w:jc w:val="both"/>
        <w:divId w:val="59227781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lastRenderedPageBreak/>
        <w:t xml:space="preserve">Статья 10. </w:t>
      </w:r>
      <w:r>
        <w:rPr>
          <w:rStyle w:val="clausesuff1"/>
          <w:rFonts w:eastAsia="Times New Roman"/>
          <w:b/>
          <w:bCs/>
          <w:color w:val="000080"/>
        </w:rPr>
        <w:t>Прогноз доходов и расходы государственных целевых фондов и Фонда реконст</w:t>
      </w:r>
      <w:r>
        <w:rPr>
          <w:rStyle w:val="clausesuff1"/>
          <w:rFonts w:eastAsia="Times New Roman"/>
          <w:b/>
          <w:bCs/>
          <w:color w:val="000080"/>
        </w:rPr>
        <w:t>рукции и развития Республики Узбекистан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Принять к сведению прогноз доходов государственных целевых фондов и Фонда реконструкции и развития Республики Узбекистан на 2020 год и утвердить их расходы согласно </w:t>
      </w:r>
      <w:hyperlink r:id="rId7" w:history="1">
        <w:r>
          <w:rPr>
            <w:rFonts w:eastAsia="Times New Roman"/>
            <w:color w:val="008080"/>
          </w:rPr>
          <w:t>прил</w:t>
        </w:r>
        <w:r>
          <w:rPr>
            <w:rFonts w:eastAsia="Times New Roman"/>
            <w:color w:val="008080"/>
          </w:rPr>
          <w:t>ожению № 3</w:t>
        </w:r>
      </w:hyperlink>
      <w:r>
        <w:rPr>
          <w:rFonts w:eastAsia="Times New Roman"/>
          <w:color w:val="000000"/>
        </w:rPr>
        <w:t>.</w:t>
      </w:r>
    </w:p>
    <w:p w:rsidR="00000000" w:rsidRDefault="008C1A85">
      <w:pPr>
        <w:shd w:val="clear" w:color="auto" w:fill="FFFFFF"/>
        <w:ind w:firstLine="851"/>
        <w:jc w:val="both"/>
        <w:divId w:val="63152266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11. </w:t>
      </w:r>
      <w:r>
        <w:rPr>
          <w:rStyle w:val="clausesuff1"/>
          <w:rFonts w:eastAsia="Times New Roman"/>
          <w:b/>
          <w:bCs/>
          <w:color w:val="000080"/>
        </w:rPr>
        <w:t>Прогноз доходов и расходы республиканского бюджета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2020 год: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принять к сведению прогноз доходов республиканского бюджета согласно </w:t>
      </w:r>
      <w:hyperlink r:id="rId8" w:history="1">
        <w:r>
          <w:rPr>
            <w:rFonts w:eastAsia="Times New Roman"/>
            <w:color w:val="008080"/>
          </w:rPr>
          <w:t>приложению № 4</w:t>
        </w:r>
      </w:hyperlink>
      <w:r>
        <w:rPr>
          <w:rFonts w:eastAsia="Times New Roman"/>
          <w:color w:val="000000"/>
        </w:rPr>
        <w:t>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утвердить предельные размеры ассигнов</w:t>
      </w:r>
      <w:r>
        <w:rPr>
          <w:rFonts w:eastAsia="Times New Roman"/>
          <w:color w:val="000000"/>
        </w:rPr>
        <w:t xml:space="preserve">аний, выделяемых из республиканского бюджета распорядителям бюджетных средств первого уровня, согласно </w:t>
      </w:r>
      <w:hyperlink r:id="rId9" w:history="1">
        <w:r>
          <w:rPr>
            <w:rFonts w:eastAsia="Times New Roman"/>
            <w:color w:val="008080"/>
          </w:rPr>
          <w:t>приложению № 5</w:t>
        </w:r>
      </w:hyperlink>
      <w:r>
        <w:rPr>
          <w:rFonts w:eastAsia="Times New Roman"/>
          <w:color w:val="000000"/>
        </w:rPr>
        <w:t>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Дополнительные источники и остатки средств на начало года республиканского бюджета, госуда</w:t>
      </w:r>
      <w:r>
        <w:rPr>
          <w:rFonts w:eastAsia="Times New Roman"/>
          <w:color w:val="000000"/>
        </w:rPr>
        <w:t>рственных целевых фондов и Фонда реконструкции и развития Республики Узбекистан используются в соответствии с решениями Президента Республики Узбекистан и Кабинета Министров соответственно в размере, не превышающем 3 процентов от их общих расходов, с предс</w:t>
      </w:r>
      <w:r>
        <w:rPr>
          <w:rFonts w:eastAsia="Times New Roman"/>
          <w:color w:val="000000"/>
        </w:rPr>
        <w:t>тавлением в Законодательную палату ежеквартальных отчетов об использовании данных средств. В случае превышения данных расходов на 3 и более процентов в настоящий Закон вносятся изменения.</w:t>
      </w:r>
    </w:p>
    <w:p w:rsidR="00000000" w:rsidRDefault="008C1A85">
      <w:pPr>
        <w:shd w:val="clear" w:color="auto" w:fill="FFFFFF"/>
        <w:ind w:firstLine="851"/>
        <w:jc w:val="both"/>
        <w:divId w:val="143166200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12. </w:t>
      </w:r>
      <w:r>
        <w:rPr>
          <w:rStyle w:val="clausesuff1"/>
          <w:rFonts w:eastAsia="Times New Roman"/>
          <w:b/>
          <w:bCs/>
          <w:color w:val="000080"/>
        </w:rPr>
        <w:t>Прогнозы доходов и расходов бюджета Республики Каракалпак</w:t>
      </w:r>
      <w:r>
        <w:rPr>
          <w:rStyle w:val="clausesuff1"/>
          <w:rFonts w:eastAsia="Times New Roman"/>
          <w:b/>
          <w:bCs/>
          <w:color w:val="000080"/>
        </w:rPr>
        <w:t>стан, местных бюджетов областей и города Ташкента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2020 год: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принять к сведению прогнозы доходов и расходов бюджета Республики Каракалпакстан, местных бюджетов областей и города Ташкента согласно </w:t>
      </w:r>
      <w:hyperlink r:id="rId10" w:history="1">
        <w:r>
          <w:rPr>
            <w:rFonts w:eastAsia="Times New Roman"/>
            <w:color w:val="008080"/>
          </w:rPr>
          <w:t xml:space="preserve">приложению </w:t>
        </w:r>
        <w:r>
          <w:rPr>
            <w:rFonts w:eastAsia="Times New Roman"/>
            <w:color w:val="008080"/>
          </w:rPr>
          <w:t>№ 6</w:t>
        </w:r>
      </w:hyperlink>
      <w:r>
        <w:rPr>
          <w:rFonts w:eastAsia="Times New Roman"/>
          <w:color w:val="000000"/>
        </w:rPr>
        <w:t>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утвердить размеры выравнивающих межбюджетных трансфертов, выделяемых из республиканского бюджета местным бюджетам областей, согласно </w:t>
      </w:r>
      <w:hyperlink r:id="rId11" w:history="1">
        <w:r>
          <w:rPr>
            <w:rFonts w:eastAsia="Times New Roman"/>
            <w:color w:val="008080"/>
          </w:rPr>
          <w:t>приложению № 7</w:t>
        </w:r>
      </w:hyperlink>
      <w:r>
        <w:rPr>
          <w:rFonts w:eastAsia="Times New Roman"/>
          <w:color w:val="000000"/>
        </w:rPr>
        <w:t>. Размеры выравнивающих межбюджетных трансфертов не подле</w:t>
      </w:r>
      <w:r>
        <w:rPr>
          <w:rFonts w:eastAsia="Times New Roman"/>
          <w:color w:val="000000"/>
        </w:rPr>
        <w:t>жат уменьшению независимо от исполнения прогноза доходов местных бюджетов областей.</w:t>
      </w:r>
    </w:p>
    <w:p w:rsidR="00000000" w:rsidRDefault="008C1A85">
      <w:pPr>
        <w:shd w:val="clear" w:color="auto" w:fill="FFFFFF"/>
        <w:ind w:firstLine="851"/>
        <w:jc w:val="both"/>
        <w:divId w:val="190803270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13. </w:t>
      </w:r>
      <w:r>
        <w:rPr>
          <w:rStyle w:val="clausesuff1"/>
          <w:rFonts w:eastAsia="Times New Roman"/>
          <w:b/>
          <w:bCs/>
          <w:color w:val="000080"/>
        </w:rPr>
        <w:t>Ставки отдельных налогов и платежей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Утвердить на 2020 год: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ставки акцизного налога на подакцизные товары (услуги), производимые (оказываемые) в Республике Узбекистан, согласно </w:t>
      </w:r>
      <w:hyperlink r:id="rId12" w:history="1">
        <w:r>
          <w:rPr>
            <w:rFonts w:eastAsia="Times New Roman"/>
            <w:color w:val="008080"/>
          </w:rPr>
          <w:t>приложению № 8</w:t>
        </w:r>
      </w:hyperlink>
      <w:r>
        <w:rPr>
          <w:rFonts w:eastAsia="Times New Roman"/>
          <w:color w:val="000000"/>
        </w:rPr>
        <w:t>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ставки земельного налога с юридических и физических лиц согласно </w:t>
      </w:r>
      <w:hyperlink r:id="rId13" w:history="1">
        <w:r>
          <w:rPr>
            <w:rFonts w:eastAsia="Times New Roman"/>
            <w:color w:val="008080"/>
          </w:rPr>
          <w:t>приложению № 9</w:t>
        </w:r>
      </w:hyperlink>
      <w:r>
        <w:rPr>
          <w:rFonts w:eastAsia="Times New Roman"/>
          <w:color w:val="000000"/>
        </w:rPr>
        <w:t>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ставки земельного налога, взимаемого с плодоовощеводческих сельскохозяйственных предприятий за земли, занятые плодоовощеводческой продукцией (овощи, бахча, фрукты, виноградники), согласно </w:t>
      </w:r>
      <w:hyperlink r:id="rId14" w:history="1">
        <w:r>
          <w:rPr>
            <w:rFonts w:eastAsia="Times New Roman"/>
            <w:color w:val="008080"/>
          </w:rPr>
          <w:t>приложению № 10</w:t>
        </w:r>
      </w:hyperlink>
      <w:r>
        <w:rPr>
          <w:rFonts w:eastAsia="Times New Roman"/>
          <w:color w:val="000000"/>
        </w:rPr>
        <w:t>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ставки налога за пользование водными ресурсами согласно </w:t>
      </w:r>
      <w:hyperlink r:id="rId15" w:history="1">
        <w:r>
          <w:rPr>
            <w:rFonts w:eastAsia="Times New Roman"/>
            <w:color w:val="008080"/>
          </w:rPr>
          <w:t>приложению № 11</w:t>
        </w:r>
      </w:hyperlink>
      <w:r>
        <w:rPr>
          <w:rFonts w:eastAsia="Times New Roman"/>
          <w:color w:val="000000"/>
        </w:rPr>
        <w:t>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минимальные ставки арендной платы для физических лиц, сдающих имущество в аре</w:t>
      </w:r>
      <w:r>
        <w:rPr>
          <w:rFonts w:eastAsia="Times New Roman"/>
          <w:color w:val="000000"/>
        </w:rPr>
        <w:t xml:space="preserve">нду, согласно </w:t>
      </w:r>
      <w:hyperlink r:id="rId16" w:history="1">
        <w:r>
          <w:rPr>
            <w:rFonts w:eastAsia="Times New Roman"/>
            <w:color w:val="008080"/>
          </w:rPr>
          <w:t>приложению № 12</w:t>
        </w:r>
      </w:hyperlink>
      <w:r>
        <w:rPr>
          <w:rFonts w:eastAsia="Times New Roman"/>
          <w:color w:val="000000"/>
        </w:rPr>
        <w:t>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фиксированные суммы налога на доходы физических лиц для индивидуальных предпринимателей согласно </w:t>
      </w:r>
      <w:hyperlink r:id="rId17" w:history="1">
        <w:r>
          <w:rPr>
            <w:rFonts w:eastAsia="Times New Roman"/>
            <w:color w:val="008080"/>
          </w:rPr>
          <w:t xml:space="preserve">приложению № 13 </w:t>
        </w:r>
      </w:hyperlink>
      <w:r>
        <w:rPr>
          <w:rFonts w:eastAsia="Times New Roman"/>
          <w:color w:val="000000"/>
        </w:rPr>
        <w:t>(при этом с начала</w:t>
      </w:r>
      <w:r>
        <w:rPr>
          <w:rFonts w:eastAsia="Times New Roman"/>
          <w:color w:val="000000"/>
        </w:rPr>
        <w:t xml:space="preserve"> 2020 года индивидуальным предпринимателям предоставляется право выбора порядка уплаты налога на доходы физических лиц);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предельные ставки местных сборов согласно </w:t>
      </w:r>
      <w:hyperlink r:id="rId18" w:history="1">
        <w:r>
          <w:rPr>
            <w:rFonts w:eastAsia="Times New Roman"/>
            <w:color w:val="008080"/>
          </w:rPr>
          <w:t>приложению № 14</w:t>
        </w:r>
      </w:hyperlink>
      <w:r>
        <w:rPr>
          <w:rFonts w:eastAsia="Times New Roman"/>
          <w:color w:val="000000"/>
        </w:rPr>
        <w:t>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ставки сборов за приобретение</w:t>
      </w:r>
      <w:r>
        <w:rPr>
          <w:rFonts w:eastAsia="Times New Roman"/>
          <w:color w:val="000000"/>
        </w:rPr>
        <w:t xml:space="preserve"> и (или) временный ввоз на территорию Республики Узбекистан автотранспортных средств, уплачиваемых владельцами (пользователями) автотранспортных средств при их регистрации в органах внутренних дел, и сборов за въезд на территорию и транзит по территории Ре</w:t>
      </w:r>
      <w:r>
        <w:rPr>
          <w:rFonts w:eastAsia="Times New Roman"/>
          <w:color w:val="000000"/>
        </w:rPr>
        <w:t xml:space="preserve">спублики Узбекистан автотранспортных средств иностранных государств согласно </w:t>
      </w:r>
      <w:hyperlink r:id="rId19" w:history="1">
        <w:r>
          <w:rPr>
            <w:rFonts w:eastAsia="Times New Roman"/>
            <w:color w:val="008080"/>
          </w:rPr>
          <w:t>приложению № 15</w:t>
        </w:r>
      </w:hyperlink>
      <w:r>
        <w:rPr>
          <w:rFonts w:eastAsia="Times New Roman"/>
          <w:color w:val="000000"/>
        </w:rPr>
        <w:t>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Ставки таможенной пошлины и акцизного налога, применяемые при ввозе товаров на территорию Республики Узбекистан, ут</w:t>
      </w:r>
      <w:r>
        <w:rPr>
          <w:rFonts w:eastAsia="Times New Roman"/>
          <w:color w:val="000000"/>
        </w:rPr>
        <w:t>верждаются решением Президента Республики Узбекистан.</w:t>
      </w:r>
    </w:p>
    <w:p w:rsidR="00000000" w:rsidRDefault="008C1A85">
      <w:pPr>
        <w:shd w:val="clear" w:color="auto" w:fill="FFFFFF"/>
        <w:ind w:firstLine="851"/>
        <w:jc w:val="both"/>
        <w:divId w:val="203078771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14. </w:t>
      </w:r>
      <w:r>
        <w:rPr>
          <w:rStyle w:val="clausesuff1"/>
          <w:rFonts w:eastAsia="Times New Roman"/>
          <w:b/>
          <w:bCs/>
          <w:color w:val="000080"/>
        </w:rPr>
        <w:t>Формирование резервных фондов Кабинета Министров, республиканского бюджета Республики Каракалпакстан, областных бюджетов областей и городского бюджета города Ташкента, бюджетов районов и горо</w:t>
      </w:r>
      <w:r>
        <w:rPr>
          <w:rStyle w:val="clausesuff1"/>
          <w:rFonts w:eastAsia="Times New Roman"/>
          <w:b/>
          <w:bCs/>
          <w:color w:val="000080"/>
        </w:rPr>
        <w:t>дов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Установить объем резервного фонда Кабинета Министров на 2020 год в размере 731 млрд. сумов.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Резервные фонды республиканского бюджета Республики Каракалпакстан, областных бюджетов областей и городского бюджета города Ташкента, бюджетов районов и городов</w:t>
      </w:r>
      <w:r>
        <w:rPr>
          <w:rFonts w:eastAsia="Times New Roman"/>
          <w:color w:val="000000"/>
        </w:rPr>
        <w:t xml:space="preserve"> на 2020 год формируются в размере не ниже 1,5 процента от общих расходов соответствующих бюджетов.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Средства резервных фондов Кабинета Министров, республиканского бюджета Республики Каракалпакстан, областных бюджетов областей и городского бюджета города Та</w:t>
      </w:r>
      <w:r>
        <w:rPr>
          <w:rFonts w:eastAsia="Times New Roman"/>
          <w:color w:val="000000"/>
        </w:rPr>
        <w:t>шкента, бюджетов районов и городов выделяются на финансирование неотложных и непредвиденных расходов при формировании бюджетов бюджетной системы Республики Узбекистан, а также необходимых мероприятий в случаях наступления социально-экономической нестабильн</w:t>
      </w:r>
      <w:r>
        <w:rPr>
          <w:rFonts w:eastAsia="Times New Roman"/>
          <w:color w:val="000000"/>
        </w:rPr>
        <w:t>ости.</w:t>
      </w:r>
    </w:p>
    <w:p w:rsidR="00000000" w:rsidRDefault="008C1A85">
      <w:pPr>
        <w:shd w:val="clear" w:color="auto" w:fill="FFFFFF"/>
        <w:ind w:firstLine="851"/>
        <w:jc w:val="both"/>
        <w:divId w:val="828255573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lastRenderedPageBreak/>
        <w:t xml:space="preserve">Статья 15. </w:t>
      </w:r>
      <w:r>
        <w:rPr>
          <w:rStyle w:val="clausesuff1"/>
          <w:rFonts w:eastAsia="Times New Roman"/>
          <w:b/>
          <w:bCs/>
          <w:color w:val="000080"/>
        </w:rPr>
        <w:t>Обеспечение устойчивости бюджетной системы Республики Узбекистан в 2020 году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случае невыполнения прогноза доходов бюджетов бюджетной системы Республики Узбекистан по итогам шести месяцев и отсутствия достаточных оснований по их поступлен</w:t>
      </w:r>
      <w:r>
        <w:rPr>
          <w:rFonts w:eastAsia="Times New Roman"/>
          <w:color w:val="000000"/>
        </w:rPr>
        <w:t>ию до конца текущего финансового года осуществляется сокращение расходов в размере: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 и более процентов от общих расходов республиканского бюджета — палатами Олий Мажлиса по предложению Кабинета Министров;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менее 3 процентов от общих расходов республиканско</w:t>
      </w:r>
      <w:r>
        <w:rPr>
          <w:rFonts w:eastAsia="Times New Roman"/>
          <w:color w:val="000000"/>
        </w:rPr>
        <w:t>го бюджета — на основании решения Кабинета Министров по предложению Министерства финансов.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Решения по сокращению расходов республиканского бюджета Республики Каракалпакстан, областных бюджетов областей и городского бюджета города Ташкента, бюджетов районов</w:t>
      </w:r>
      <w:r>
        <w:rPr>
          <w:rFonts w:eastAsia="Times New Roman"/>
          <w:color w:val="000000"/>
        </w:rPr>
        <w:t xml:space="preserve"> и городов принимаются соответственно Жокаргы Кенесом Республики Каракалпакстан, Кенгашами народных депутатов областей и города Ташкента, районов и городов.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При сокращении расходов бюджетов принимаются в расчет освоение бюджетных средств, а также принятые </w:t>
      </w:r>
      <w:r>
        <w:rPr>
          <w:rFonts w:eastAsia="Times New Roman"/>
          <w:color w:val="000000"/>
        </w:rPr>
        <w:t>юридические и финансовые обязательства бюджетных организаций и получателей бюджетных средств.</w:t>
      </w:r>
    </w:p>
    <w:p w:rsidR="00000000" w:rsidRDefault="008C1A85">
      <w:pPr>
        <w:shd w:val="clear" w:color="auto" w:fill="FFFFFF"/>
        <w:ind w:firstLine="851"/>
        <w:jc w:val="both"/>
        <w:divId w:val="84228572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16. </w:t>
      </w:r>
      <w:r>
        <w:rPr>
          <w:rStyle w:val="clausesuff1"/>
          <w:rFonts w:eastAsia="Times New Roman"/>
          <w:b/>
          <w:bCs/>
          <w:color w:val="000080"/>
        </w:rPr>
        <w:t>Установление предельного объема внешнего заимствования от имени Республики Узбекистан и под гарантию Республики Узбекистан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Установить на 2020 год преде</w:t>
      </w:r>
      <w:r>
        <w:rPr>
          <w:rFonts w:eastAsia="Times New Roman"/>
          <w:color w:val="000000"/>
        </w:rPr>
        <w:t xml:space="preserve">льный объем на общую сумму вновь подписываемых соглашений по привлечению внешнего заимствования </w:t>
      </w:r>
      <w:r>
        <w:rPr>
          <w:rFonts w:eastAsia="Times New Roman"/>
          <w:color w:val="000000"/>
        </w:rPr>
        <w:lastRenderedPageBreak/>
        <w:t>от имени Республики Узбекистан (Правительства Республики Узбекистан) или под гарантию Республики Узбекистан в размере 4 млрд. долларов США.</w:t>
      </w:r>
    </w:p>
    <w:p w:rsidR="00000000" w:rsidRDefault="008C1A85">
      <w:pPr>
        <w:shd w:val="clear" w:color="auto" w:fill="FFFFFF"/>
        <w:ind w:firstLine="851"/>
        <w:jc w:val="both"/>
        <w:divId w:val="734160457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17. </w:t>
      </w:r>
      <w:r>
        <w:rPr>
          <w:rStyle w:val="clausesuff1"/>
          <w:rFonts w:eastAsia="Times New Roman"/>
          <w:b/>
          <w:bCs/>
          <w:color w:val="000080"/>
        </w:rPr>
        <w:t xml:space="preserve">Расходы, </w:t>
      </w:r>
      <w:r>
        <w:rPr>
          <w:rStyle w:val="clausesuff1"/>
          <w:rFonts w:eastAsia="Times New Roman"/>
          <w:b/>
          <w:bCs/>
          <w:color w:val="000080"/>
        </w:rPr>
        <w:t>осуществляемые за счет внешних заимствований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Утвердить предельный объем освоения внешних заимствований на 2020 год, привлекаемых от имени Республики Узбекистан (Правительства Республики Узбекистан) или под гарантию Республики Узбекистан для реализации госу</w:t>
      </w:r>
      <w:r>
        <w:rPr>
          <w:rFonts w:eastAsia="Times New Roman"/>
          <w:color w:val="000000"/>
        </w:rPr>
        <w:t>дарственных целевых программ и погашаемых за счет средств Государственного бюджета Республики Узбекистан, в размере 1,5 млрд. долларов США.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Предельные размеры расходов на реализацию государственных целевых программ, осуществляемых за счет внешних заимствов</w:t>
      </w:r>
      <w:r>
        <w:rPr>
          <w:rFonts w:eastAsia="Times New Roman"/>
          <w:color w:val="000000"/>
        </w:rPr>
        <w:t>аний, в разрезе министерств и ведомств на 2020 год утверждаются Кабинетом Министров по совместному предложению Министерства инвестиций и внешней торговли, Министерства финансов и Министерства экономики и промышленности Республики Узбекистан.</w:t>
      </w:r>
    </w:p>
    <w:p w:rsidR="00000000" w:rsidRDefault="008C1A85">
      <w:pPr>
        <w:shd w:val="clear" w:color="auto" w:fill="FFFFFF"/>
        <w:jc w:val="center"/>
        <w:divId w:val="59679444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3. Особе</w:t>
      </w:r>
      <w:r>
        <w:rPr>
          <w:rFonts w:eastAsia="Times New Roman"/>
          <w:b/>
          <w:bCs/>
          <w:color w:val="000080"/>
        </w:rPr>
        <w:t>нности урегулирования межбюджетных отношений</w:t>
      </w:r>
    </w:p>
    <w:p w:rsidR="00000000" w:rsidRDefault="008C1A85">
      <w:pPr>
        <w:shd w:val="clear" w:color="auto" w:fill="FFFFFF"/>
        <w:ind w:firstLine="851"/>
        <w:jc w:val="both"/>
        <w:divId w:val="100867302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18. </w:t>
      </w:r>
      <w:r>
        <w:rPr>
          <w:rStyle w:val="clausesuff1"/>
          <w:rFonts w:eastAsia="Times New Roman"/>
          <w:b/>
          <w:bCs/>
          <w:color w:val="000080"/>
        </w:rPr>
        <w:t>Порядок рассмотрения и принятия бюджета Республики Каракалпакстан, местных бюджетов областей и города Ташкента, бюджетов районов и городов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Проекты бюджета Республики Каракалпакстан, местных бюджетов областей и города Ташкента на очередной год вносятся соответственно в Жокаргы Кенес Республики Каракалпакстан, Кенгаши народных депутатов областей и города Ташкента Советом Министров Респуб</w:t>
      </w:r>
      <w:r>
        <w:rPr>
          <w:rFonts w:eastAsia="Times New Roman"/>
          <w:color w:val="000000"/>
        </w:rPr>
        <w:lastRenderedPageBreak/>
        <w:t>лики Ка</w:t>
      </w:r>
      <w:r>
        <w:rPr>
          <w:rFonts w:eastAsia="Times New Roman"/>
          <w:color w:val="000000"/>
        </w:rPr>
        <w:t>ракалпакстан, хокимиятами областей и города Ташкента в течение одной недели после вступления в силу настоящего Закона с приведением их в соответствие с данным Законом.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Жокаргы Кенес Республики Каракалпакстан, Кенгаши народных депутатов областей и города Та</w:t>
      </w:r>
      <w:r>
        <w:rPr>
          <w:rFonts w:eastAsia="Times New Roman"/>
          <w:color w:val="000000"/>
        </w:rPr>
        <w:t>шкента в трехдневный срок принимают решения соответственно о бюджете Республики Каракалпакстан, местных бюджетах областей и города Ташкента.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Проекты бюджетов районов и городов на очередной год вносятся соответственно в Кенгаши народных депутатов районов и </w:t>
      </w:r>
      <w:r>
        <w:rPr>
          <w:rFonts w:eastAsia="Times New Roman"/>
          <w:color w:val="000000"/>
        </w:rPr>
        <w:t>городов хокимиятами районов и городов в течение трех дней после принятия решений о бюджете Республики Каракалпакстан, местных бюджетах областей и города Ташкента.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Кенгаши народных депутатов районов и городов в течение трех дней принимают решения о бюджетах</w:t>
      </w:r>
      <w:r>
        <w:rPr>
          <w:rFonts w:eastAsia="Times New Roman"/>
          <w:color w:val="000000"/>
        </w:rPr>
        <w:t xml:space="preserve"> районов и городов.</w:t>
      </w:r>
    </w:p>
    <w:p w:rsidR="00000000" w:rsidRDefault="008C1A85">
      <w:pPr>
        <w:shd w:val="clear" w:color="auto" w:fill="FFFFFF"/>
        <w:ind w:firstLine="851"/>
        <w:jc w:val="both"/>
        <w:divId w:val="127948606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19. </w:t>
      </w:r>
      <w:r>
        <w:rPr>
          <w:rStyle w:val="clausesuff1"/>
          <w:rFonts w:eastAsia="Times New Roman"/>
          <w:b/>
          <w:bCs/>
          <w:color w:val="000080"/>
        </w:rPr>
        <w:t xml:space="preserve">Особенности формирования доходов бюджета Республики Каракалпакстан, местных бюджетов областей и города Ташкента, бюджетов районов и городов на 2020 год 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бюджеты районов и городов в полном объеме зачисляются следующие виды н</w:t>
      </w:r>
      <w:r>
        <w:rPr>
          <w:rFonts w:eastAsia="Times New Roman"/>
          <w:color w:val="000000"/>
        </w:rPr>
        <w:t>алогов: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налог на имущество физических лиц;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земельный налог с физических лиц;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налог на доходы, уплачиваемый физическими лицами на основании декларации о годовом доходе, получаемом от сдачи имущества в аренду, а также уплачиваемый индивидуальными предпринима</w:t>
      </w:r>
      <w:r>
        <w:rPr>
          <w:rFonts w:eastAsia="Times New Roman"/>
          <w:color w:val="000000"/>
        </w:rPr>
        <w:t>телями;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налог за пользование водными ресурсами, за исключением уплачиваемого электростанциями;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налог за пользование недрами по строительным материалам, кроме цементного сырья и известняка для производства цемента.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республиканский бюджет Республики Карака</w:t>
      </w:r>
      <w:r>
        <w:rPr>
          <w:rFonts w:eastAsia="Times New Roman"/>
          <w:color w:val="000000"/>
        </w:rPr>
        <w:t>лпакстан, областные бюджеты областей и городской бюджет города Ташкента в полном объеме зачисляются следующие: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налог на имущество юридических лиц;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земельный налог с юридических лиц;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налог за пользование водными ресурсами, уплачиваемый электростанциями;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акц</w:t>
      </w:r>
      <w:r>
        <w:rPr>
          <w:rFonts w:eastAsia="Times New Roman"/>
          <w:color w:val="000000"/>
        </w:rPr>
        <w:t>изный налог при реализации конечным потребителям бензина, дизельного топлива и газа;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налог с оборота;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государственные пошлины (кроме патентных пошлин и государственных пошлин за выдачу лицензий) в размерах, установленных законодательством;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штрафы, взыскива</w:t>
      </w:r>
      <w:r>
        <w:rPr>
          <w:rFonts w:eastAsia="Times New Roman"/>
          <w:color w:val="000000"/>
        </w:rPr>
        <w:t>емые в Государственный бюджет Республики Узбекистан в размерах, установленных законодательством;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сборы за право розничной торговли отдельными видами товаров;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другие сборы, взыскиваемые в Государственный бюджет Республики Узбекистан (кроме таможенных сборов</w:t>
      </w:r>
      <w:r>
        <w:rPr>
          <w:rFonts w:eastAsia="Times New Roman"/>
          <w:color w:val="000000"/>
        </w:rPr>
        <w:t>) в размерах, установленных законодательством;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сборы за приобретение автотранспортных средств, уплачиваемые владельцами (пользователями) автотранспортных средств при их регистрации в органах внутренних дел;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имущество, обращенное в доход государства в устан</w:t>
      </w:r>
      <w:r>
        <w:rPr>
          <w:rFonts w:eastAsia="Times New Roman"/>
          <w:color w:val="000000"/>
        </w:rPr>
        <w:t>овленном законодательством порядке, отчисления и дивиденды по активам органов государственной власти на местах;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доходы от сдачи в аренду и приватизации государственных активов в размерах, установленных законодательством;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поступления по акцизному налогу на </w:t>
      </w:r>
      <w:r>
        <w:rPr>
          <w:rFonts w:eastAsia="Times New Roman"/>
          <w:color w:val="000000"/>
        </w:rPr>
        <w:t>услуги мобильной связи и алкогольную продукцию, включая пиво, в соответствии с долей численности населения Республики Каракалпакстан, областей и города Ташкента в численности населения республики по состоянию на 1 июля 2019 года соответственно.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республиканский бюджет Республики Каракалпакстан, областные бюджеты областей и городской бюджет города Ташкента зачисляются налоги в следующих долях: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Навоийской области — 70 процентов, в Ташкентской области — 34 процента, в городе Ташкенте — 5 проценто</w:t>
      </w:r>
      <w:r>
        <w:rPr>
          <w:rFonts w:eastAsia="Times New Roman"/>
          <w:color w:val="000000"/>
        </w:rPr>
        <w:t>в, в Республике Каракалпакстан и других областях — 100 процентов от поступлений по налогу на доходы физических лиц (кроме налога на доходы физических лиц, полученные от сдачи имущества в аренду, на основании декларации о совокупном годовом доходе физическо</w:t>
      </w:r>
      <w:r>
        <w:rPr>
          <w:rFonts w:eastAsia="Times New Roman"/>
          <w:color w:val="000000"/>
        </w:rPr>
        <w:t>го лица, а также уплачиваемого индивидуальными предпринимателями);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Ташкентской области — 34 процента, в городе Ташкенте — 5 процентов, в Республике Каракалпакстан и других областях — 100 процентов от поступлений по налогу на прибыль юридических лиц (кром</w:t>
      </w:r>
      <w:r>
        <w:rPr>
          <w:rFonts w:eastAsia="Times New Roman"/>
          <w:color w:val="000000"/>
        </w:rPr>
        <w:t>е налога на прибыль юридических лиц, уплачиваемого крупными налогоплательщиками согласно перечню, утвержденному решением Президента Республики Узбекистан, нерезидентами Республики Узбекистан, осуществляющими деятельность в Республике Узбекистан через посто</w:t>
      </w:r>
      <w:r>
        <w:rPr>
          <w:rFonts w:eastAsia="Times New Roman"/>
          <w:color w:val="000000"/>
        </w:rPr>
        <w:t>янное учреждение, а также с доходов нерезидентов, удерживаемого у источника выплаты);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Республике Каракалпакстан — 100 процентов от поступлений по налогу на добавленную стоимость.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Жокаргы Кенес Республики Каракалпакстан, Кенгаши народных депутатов областе</w:t>
      </w:r>
      <w:r>
        <w:rPr>
          <w:rFonts w:eastAsia="Times New Roman"/>
          <w:color w:val="000000"/>
        </w:rPr>
        <w:t>й, города Ташкента вправе: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распределять налоги и другие виды доходов (в том числе доходы, указанные в </w:t>
      </w:r>
      <w:hyperlink r:id="rId20" w:history="1">
        <w:r>
          <w:rPr>
            <w:rFonts w:eastAsia="Times New Roman"/>
            <w:color w:val="008080"/>
          </w:rPr>
          <w:t xml:space="preserve">части первой </w:t>
        </w:r>
      </w:hyperlink>
      <w:r>
        <w:rPr>
          <w:rFonts w:eastAsia="Times New Roman"/>
          <w:color w:val="000000"/>
        </w:rPr>
        <w:t>настоящей статьи), зачисляемые в местные бюджеты соответствующего уровня, и межбюджетные транс</w:t>
      </w:r>
      <w:r>
        <w:rPr>
          <w:rFonts w:eastAsia="Times New Roman"/>
          <w:color w:val="000000"/>
        </w:rPr>
        <w:t>ферты;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передавать часть средств, полученных от перевыполнения прогнозов доходов, бюджетам районов и городов на реализацию программ социально-экономического развития территории.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Кенгаши народных депутатов районов и городов вправе: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вводить понижающие или пов</w:t>
      </w:r>
      <w:r>
        <w:rPr>
          <w:rFonts w:eastAsia="Times New Roman"/>
          <w:color w:val="000000"/>
        </w:rPr>
        <w:t>ышающие коэффициенты от 0,7 до 1,3 к минимальным ставкам арендной платы и суммам налога на доходы физических лиц в фиксированных размерах для индивидуальных предпринимателей в зависимости от специфики места предоставления в аренду имущества или осуществлен</w:t>
      </w:r>
      <w:r>
        <w:rPr>
          <w:rFonts w:eastAsia="Times New Roman"/>
          <w:color w:val="000000"/>
        </w:rPr>
        <w:t xml:space="preserve">ия деятельности индивидуального предпринимателя, а также сезонности осуществляемых видов деятельности; 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вводить повышающие коэффициенты к минимальным ставкам арендной платы и фиксированным размерам налога на доходы физических лиц для индивидуальных предпри</w:t>
      </w:r>
      <w:r>
        <w:rPr>
          <w:rFonts w:eastAsia="Times New Roman"/>
          <w:color w:val="000000"/>
        </w:rPr>
        <w:t>нимателей в отдельных территориях районов и городов, специализирующихся на массовом отдыхе или туризме, до размеров, установленных для города Ташкента.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Если законодательством не предусмотрено распределение доходов, зачисляемых в местные бюджеты, то данный </w:t>
      </w:r>
      <w:r>
        <w:rPr>
          <w:rFonts w:eastAsia="Times New Roman"/>
          <w:color w:val="000000"/>
        </w:rPr>
        <w:t>вид дохода зачисляется в республиканский бюджет Республики Каракалпакстан, областные бюджеты областей и городской бюджет города Ташкента.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Сумма дивидендов по государственной доле и отчислений в Государственный бюджет Республики Узбекистан в размере не мене</w:t>
      </w:r>
      <w:r>
        <w:rPr>
          <w:rFonts w:eastAsia="Times New Roman"/>
          <w:color w:val="000000"/>
        </w:rPr>
        <w:t>е 50 процентов от чистой прибыли государственных унитарных предприятий и обществ с долей государства в уставном капитале в размере 50 процен</w:t>
      </w:r>
      <w:r>
        <w:rPr>
          <w:rFonts w:eastAsia="Times New Roman"/>
          <w:color w:val="000000"/>
        </w:rPr>
        <w:lastRenderedPageBreak/>
        <w:t>тов и более по итогам 2019 года начисляется до 1 июля 2020 года и подлежит перечислению в бюджет соответствующего ур</w:t>
      </w:r>
      <w:r>
        <w:rPr>
          <w:rFonts w:eastAsia="Times New Roman"/>
          <w:color w:val="000000"/>
        </w:rPr>
        <w:t>овня не позднее 1 сентября 2020 года.</w:t>
      </w:r>
    </w:p>
    <w:p w:rsidR="00000000" w:rsidRDefault="008C1A85">
      <w:pPr>
        <w:shd w:val="clear" w:color="auto" w:fill="FFFFFF"/>
        <w:ind w:firstLine="851"/>
        <w:jc w:val="both"/>
        <w:divId w:val="920261166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20. </w:t>
      </w:r>
      <w:r>
        <w:rPr>
          <w:rStyle w:val="clausesuff1"/>
          <w:rFonts w:eastAsia="Times New Roman"/>
          <w:b/>
          <w:bCs/>
          <w:color w:val="000080"/>
        </w:rPr>
        <w:t>Использование дополнительных источников республиканского бюджета Республики Каракалпакстан, областных бюджетов областей и городского бюджета города Ташкента, бюджетов районов и городов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Решения об использован</w:t>
      </w:r>
      <w:r>
        <w:rPr>
          <w:rFonts w:eastAsia="Times New Roman"/>
          <w:color w:val="000000"/>
        </w:rPr>
        <w:t>ии дополнительных источников республиканского бюджета Республики Каракалпакстан, областных бюджетов областей и городского бюджета города Ташкента, бюджетов районов и городов принимаются соответственно Жокаргы Кенесом Республики Каракалпакстан, Кенгашами на</w:t>
      </w:r>
      <w:r>
        <w:rPr>
          <w:rFonts w:eastAsia="Times New Roman"/>
          <w:color w:val="000000"/>
        </w:rPr>
        <w:t>родных депутатов областей и города Ташкента, районов и городов на основании предложений Совета Министров Республики Каракалпакстан, хокимиятов областей и города Ташкента, районов и городов в первую очередь в целях укрепления материально-технической базы уч</w:t>
      </w:r>
      <w:r>
        <w:rPr>
          <w:rFonts w:eastAsia="Times New Roman"/>
          <w:color w:val="000000"/>
        </w:rPr>
        <w:t>реждений социальной сферы.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Хокимияты районов и городов направляют не менее 10 процентов дополнительных источников бюджетов районов и городов на финансирование мероприятий, формируемых на основе общественного мнения.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Совета Министров Республики</w:t>
      </w:r>
      <w:r>
        <w:rPr>
          <w:rFonts w:eastAsia="Times New Roman"/>
          <w:color w:val="000000"/>
        </w:rPr>
        <w:t xml:space="preserve"> Каракалпакстан, хокимы областей и города Ташкента, районов и городов принимают решения об использовании дополнительных источников при чрезвычайных ситуациях и других аналогичных случаях, требующих принятия безотлагательных мер, с условием последующего пре</w:t>
      </w:r>
      <w:r>
        <w:rPr>
          <w:rFonts w:eastAsia="Times New Roman"/>
          <w:color w:val="000000"/>
        </w:rPr>
        <w:t>дставления отчета об использованных средствах в Жокаргы Кенес Республики Каракалпакстан, Кенгаши народных депутатов областей и города Ташкента, районов и городов.</w:t>
      </w:r>
    </w:p>
    <w:p w:rsidR="00000000" w:rsidRDefault="008C1A85">
      <w:pPr>
        <w:shd w:val="clear" w:color="auto" w:fill="FFFFFF"/>
        <w:ind w:firstLine="851"/>
        <w:jc w:val="both"/>
        <w:divId w:val="166409284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lastRenderedPageBreak/>
        <w:t xml:space="preserve">Статья 21. </w:t>
      </w:r>
      <w:r>
        <w:rPr>
          <w:rStyle w:val="clausesuff1"/>
          <w:rFonts w:eastAsia="Times New Roman"/>
          <w:b/>
          <w:bCs/>
          <w:color w:val="000080"/>
        </w:rPr>
        <w:t xml:space="preserve">Особенности осуществления расходов Государственного бюджета Республики Узбекистан </w:t>
      </w:r>
      <w:r>
        <w:rPr>
          <w:rStyle w:val="clausesuff1"/>
          <w:rFonts w:eastAsia="Times New Roman"/>
          <w:b/>
          <w:bCs/>
          <w:color w:val="000080"/>
        </w:rPr>
        <w:t>в 2020 году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Следующие расходы переводятся на финансирование из республиканского бюджета: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первая и вторая группы расходов общеобразовательных школ и дошкольных образовательных учреждений — через Министерство народного образования и Министерство дошкольного образования Республики Узбекистан (четвертая группа расходов данных учреждений осуществля</w:t>
      </w:r>
      <w:r>
        <w:rPr>
          <w:rFonts w:eastAsia="Times New Roman"/>
          <w:color w:val="000000"/>
        </w:rPr>
        <w:t>ется за счет бюджетов соответствующих районов и городов);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расходы по ремонту прилегающих территорий к многоквартирному жилищному фонду и капитальному ремонту тепловых сетей и котельного оборудования организаций теплоснабжения, входящих в систему Министерст</w:t>
      </w:r>
      <w:r>
        <w:rPr>
          <w:rFonts w:eastAsia="Times New Roman"/>
          <w:color w:val="000000"/>
        </w:rPr>
        <w:t>ва жилищно-коммунального обслуживания Республики Узбекистан.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Следующие расходы переводятся на финансирование из республиканского бюджета Республики Каракалпакстан, областных бюджетов областей и городского бюджета города Ташкента: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расходы на покрытие убытко</w:t>
      </w:r>
      <w:r>
        <w:rPr>
          <w:rFonts w:eastAsia="Times New Roman"/>
          <w:color w:val="000000"/>
        </w:rPr>
        <w:t>в производителей тепловой энергии, возникающих в результате применения пониженных тарифов на услуги теплоснабжения для населения;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расходы на финансирование управлений насосных станций и энергетики при Министерстве водного хозяйства Республики Каракалпакста</w:t>
      </w:r>
      <w:r>
        <w:rPr>
          <w:rFonts w:eastAsia="Times New Roman"/>
          <w:color w:val="000000"/>
        </w:rPr>
        <w:t>н и бассейновых управлений ирригационных систем, а также управление эксплуатации Каршинского магистрального канала;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расходы по эксплуатации автомобильных дорог общего пользования;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расходы на покрытие убытков, причиненных гражданам или юридическим лицам в р</w:t>
      </w:r>
      <w:r>
        <w:rPr>
          <w:rFonts w:eastAsia="Times New Roman"/>
          <w:color w:val="000000"/>
        </w:rPr>
        <w:t>езультате незаконных действий (бездействия) государственных органов или должностных лиц этих органов.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Следующие расходы переводятся на финансирование из бюджетов районов и городов: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расходы на выплату социальных пособий, назначаемых органами самоуправления </w:t>
      </w:r>
      <w:r>
        <w:rPr>
          <w:rFonts w:eastAsia="Times New Roman"/>
          <w:color w:val="000000"/>
        </w:rPr>
        <w:t>граждан;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расходы на содержание районных и городских центров государственного санитарно-эпидемиологического надзора.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порядке эксперимента: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капитальные вложения на проектирование, строительство (реконструкцию), капитальный ремонт и оснащение общеобразовательных и дошкольных учреждений города Ташкента финансируются из городского бюджета города Ташкента;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расходы на строительство, реконструкцию и</w:t>
      </w:r>
      <w:r>
        <w:rPr>
          <w:rFonts w:eastAsia="Times New Roman"/>
          <w:color w:val="000000"/>
        </w:rPr>
        <w:t xml:space="preserve"> капитальный ремонт объектов социальной сферы, объектов системы питьевого водоснабжения, автомобильных дорог общего пользования, строительство, реконструкцию, а также ремонтно-восстановительные работы на объектах в рамках мероприятий по улучшению мелиорати</w:t>
      </w:r>
      <w:r>
        <w:rPr>
          <w:rFonts w:eastAsia="Times New Roman"/>
          <w:color w:val="000000"/>
        </w:rPr>
        <w:t>вного состояния орошаемых земель в Республике Каракалпакстан финансируются из республиканского бюджета Республики Каракалпакстан.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Финансирование дополнительных мероприятий, проводимых по инициативе органов государственной власти на местах, осуществляется т</w:t>
      </w:r>
      <w:r>
        <w:rPr>
          <w:rFonts w:eastAsia="Times New Roman"/>
          <w:color w:val="000000"/>
        </w:rPr>
        <w:t>олько за счет дополнительных источников бюджета Республики Каракалпакстан, местных бюджетов областей и города Ташкента.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Совет Министров Республики Каракалпакстан, хокимияты областей и города Ташкента, районов и городов формируют соответствующие бюджеты, пр</w:t>
      </w:r>
      <w:r>
        <w:rPr>
          <w:rFonts w:eastAsia="Times New Roman"/>
          <w:color w:val="000000"/>
        </w:rPr>
        <w:t>едусмотрев в первоочередном порядке планирование расходов на заработную плату и приравненные к ним платежи, питание, медикаменты и коммунальные услуги.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случае невыполнения по итогам кварталов прогнозных показателей доходов, приведенных в </w:t>
      </w:r>
      <w:hyperlink r:id="rId21" w:history="1">
        <w:r>
          <w:rPr>
            <w:rFonts w:eastAsia="Times New Roman"/>
            <w:color w:val="008080"/>
          </w:rPr>
          <w:t>приложении № 6</w:t>
        </w:r>
      </w:hyperlink>
      <w:r>
        <w:rPr>
          <w:rFonts w:eastAsia="Times New Roman"/>
          <w:color w:val="000000"/>
        </w:rPr>
        <w:t xml:space="preserve"> к настоящему Закону, в </w:t>
      </w:r>
      <w:r>
        <w:rPr>
          <w:rFonts w:eastAsia="Times New Roman"/>
          <w:color w:val="000000"/>
        </w:rPr>
        <w:lastRenderedPageBreak/>
        <w:t>размере более 5 процентов по причинам, не зависящим от деятельности хокимиятов, и отсутствия вероятности их поступления до конца текущего года Совет Министров Республики Каракалпакстан, х</w:t>
      </w:r>
      <w:r>
        <w:rPr>
          <w:rFonts w:eastAsia="Times New Roman"/>
          <w:color w:val="000000"/>
        </w:rPr>
        <w:t>окимияты областей и города Ташкента обращаются в Кабинет Министров с запросом об увеличении объемов выравнивающих межбюджетных трансфертов вместе с принятием мер по оптимизации расходов, данный вопрос рассматривается Кабинетом Министров в порядке, установл</w:t>
      </w:r>
      <w:r>
        <w:rPr>
          <w:rFonts w:eastAsia="Times New Roman"/>
          <w:color w:val="000000"/>
        </w:rPr>
        <w:t>енном настоящим Законом. В аналогичном порядке хокимияты районов и городов обращаются в Совет Министров Республики Каракалпакстан, хокимияты областей и города Ташкента.</w:t>
      </w:r>
    </w:p>
    <w:p w:rsidR="00000000" w:rsidRDefault="008C1A85">
      <w:pPr>
        <w:shd w:val="clear" w:color="auto" w:fill="FFFFFF"/>
        <w:jc w:val="center"/>
        <w:divId w:val="49572769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4. Обеспечение прозрачности исполнения Консолидированного бюджета Республики Узбе</w:t>
      </w:r>
      <w:r>
        <w:rPr>
          <w:rFonts w:eastAsia="Times New Roman"/>
          <w:b/>
          <w:bCs/>
          <w:color w:val="000080"/>
        </w:rPr>
        <w:t>кистан</w:t>
      </w:r>
    </w:p>
    <w:p w:rsidR="00000000" w:rsidRDefault="008C1A85">
      <w:pPr>
        <w:shd w:val="clear" w:color="auto" w:fill="FFFFFF"/>
        <w:ind w:firstLine="851"/>
        <w:jc w:val="both"/>
        <w:divId w:val="198647065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22. </w:t>
      </w:r>
      <w:r>
        <w:rPr>
          <w:rStyle w:val="clausesuff1"/>
          <w:rFonts w:eastAsia="Times New Roman"/>
          <w:b/>
          <w:bCs/>
          <w:color w:val="000080"/>
        </w:rPr>
        <w:t xml:space="preserve">Обеспечение прозрачности бюджетного процесса 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Распорядители бюджетных средств первого уровня, государственные целевые фонды, Фонд реконструкции и развития Республики Узбекистан по итогам каждого квартала до 25 числа первого месяца следующ</w:t>
      </w:r>
      <w:r>
        <w:rPr>
          <w:rFonts w:eastAsia="Times New Roman"/>
          <w:color w:val="000000"/>
        </w:rPr>
        <w:t>его квартала размещают на своих официальных веб-сайтах сведения о: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распределении бюджетных средств в разрезе подведомственных бюджетных организаций;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финансовых отчетах;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реализации проектов, осуществляемых за счет капитальных вложений;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проведенных конкурсах</w:t>
      </w:r>
      <w:r>
        <w:rPr>
          <w:rFonts w:eastAsia="Times New Roman"/>
          <w:color w:val="000000"/>
        </w:rPr>
        <w:t xml:space="preserve"> (тендерах) и осуществленных государственных закупках.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Министерство экономики и промышленности Республики Узбекистан и соответствующие распорядители бюджетных средств на постоянной основе размещают на своих официальных веб-сайтах перечень объ</w:t>
      </w:r>
      <w:r>
        <w:rPr>
          <w:rFonts w:eastAsia="Times New Roman"/>
          <w:color w:val="000000"/>
        </w:rPr>
        <w:lastRenderedPageBreak/>
        <w:t>ектов, включен</w:t>
      </w:r>
      <w:r>
        <w:rPr>
          <w:rFonts w:eastAsia="Times New Roman"/>
          <w:color w:val="000000"/>
        </w:rPr>
        <w:t>ных в Инвестиционную программу Республики Узбекистан и финансируемых за счет средств Государственного бюджета Республики Узбекистан, сведения о стоимости и реализации проектов.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Государственный налоговый комитет и Государственный таможенный комитет Республи</w:t>
      </w:r>
      <w:r>
        <w:rPr>
          <w:rFonts w:eastAsia="Times New Roman"/>
          <w:color w:val="000000"/>
        </w:rPr>
        <w:t>ки Узбекистан по итогам каждого квартала до 25 числа первого месяца следующего квартала размещают на своих официальных веб-сайтах перечень налоговых и таможенных льгот, а также информацию о суммах предоставленных налоговых и таможенных льгот в разрезе нало</w:t>
      </w:r>
      <w:r>
        <w:rPr>
          <w:rFonts w:eastAsia="Times New Roman"/>
          <w:color w:val="000000"/>
        </w:rPr>
        <w:t>гоплательщиков.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государственного финансового контроля по итогам каждого квартала до 10 числа первого месяца следующего квартала размещают на своих официальных веб-сайтах сведения о планах работы на финансовый год в первом месяце финансового года и в</w:t>
      </w:r>
      <w:r>
        <w:rPr>
          <w:rFonts w:eastAsia="Times New Roman"/>
          <w:color w:val="000000"/>
        </w:rPr>
        <w:t>ыявленных по результатам контрольных мероприятий финансовых правонарушениях и положительных результатах.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Перечень приобретенных товаров и услуг, объектов, на которых проводятся работы по строительству, реконструкции и ремонту за счет дополнительных источни</w:t>
      </w:r>
      <w:r>
        <w:rPr>
          <w:rFonts w:eastAsia="Times New Roman"/>
          <w:color w:val="000000"/>
        </w:rPr>
        <w:t>ков бюджета Республики Каракалпакстан, местных бюджетов областей и города Ташкента, бюджетов районов и городов, а также сведения о финансировании строительно-ремонтных работ в обязательном порядке размещаются соответственно Советом Министров Республики Кар</w:t>
      </w:r>
      <w:r>
        <w:rPr>
          <w:rFonts w:eastAsia="Times New Roman"/>
          <w:color w:val="000000"/>
        </w:rPr>
        <w:t>акалпакстан, хокимиятами областей и города Ташкента, районов и городов на своих официальных веб-сайтах.</w:t>
      </w:r>
    </w:p>
    <w:p w:rsidR="00000000" w:rsidRDefault="008C1A85">
      <w:pPr>
        <w:shd w:val="clear" w:color="auto" w:fill="FFFFFF"/>
        <w:ind w:firstLine="851"/>
        <w:jc w:val="both"/>
        <w:divId w:val="1520310625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23. </w:t>
      </w:r>
      <w:r>
        <w:rPr>
          <w:rStyle w:val="clausesuff1"/>
          <w:rFonts w:eastAsia="Times New Roman"/>
          <w:b/>
          <w:bCs/>
          <w:color w:val="000080"/>
        </w:rPr>
        <w:t>Подотчетность распорядителей бюджетных средств первого уровня, государственных целевых фондов и Фонда реконструкции и развития Республики Узб</w:t>
      </w:r>
      <w:r>
        <w:rPr>
          <w:rStyle w:val="clausesuff1"/>
          <w:rFonts w:eastAsia="Times New Roman"/>
          <w:b/>
          <w:bCs/>
          <w:color w:val="000080"/>
        </w:rPr>
        <w:t>екистан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Кабинет Министров представляет в Законодательную палату годовой отчет об исполнении Государственного бюджета Республики Узбекистан и бюджетов государственных целевых фондов вместе с заключением Счетной палаты Республики Узбекистан не позднее 15 мая</w:t>
      </w:r>
      <w:r>
        <w:rPr>
          <w:rFonts w:eastAsia="Times New Roman"/>
          <w:color w:val="000000"/>
        </w:rPr>
        <w:t xml:space="preserve"> следующего года, а также отчет об исполнении Государственного бюджета Республики Узбекистан ежеквартально.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Законодательная палата имеет право заслушивать отчеты распорядителей бюджетных средств первого уровня и государственных целевых фондов об эффективно</w:t>
      </w:r>
      <w:r>
        <w:rPr>
          <w:rFonts w:eastAsia="Times New Roman"/>
          <w:color w:val="000000"/>
        </w:rPr>
        <w:t xml:space="preserve">сти использования выделяемых им бюджетных средств и достигнутых результатах. 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Органы — распорядители государственных целевых фондов и Фонда реконструкции и развития Республики Узбекистан представляют в Министерство финансов отчеты об исполнении бюджетов, а</w:t>
      </w:r>
      <w:r>
        <w:rPr>
          <w:rFonts w:eastAsia="Times New Roman"/>
          <w:color w:val="000000"/>
        </w:rPr>
        <w:t xml:space="preserve"> также доходов и расходов данных фондов для составления отчета по Консолидированному бюджету Республики Узбекистан.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Рассмотрение исполнения Государственного бюджета Республики Узбекистан осуществляется Законодательной палатой в порядке, предусмотренном зак</w:t>
      </w:r>
      <w:r>
        <w:rPr>
          <w:rFonts w:eastAsia="Times New Roman"/>
          <w:color w:val="000000"/>
        </w:rPr>
        <w:t>оном.</w:t>
      </w:r>
    </w:p>
    <w:p w:rsidR="00000000" w:rsidRDefault="008C1A85">
      <w:pPr>
        <w:shd w:val="clear" w:color="auto" w:fill="FFFFFF"/>
        <w:ind w:firstLine="851"/>
        <w:jc w:val="both"/>
        <w:divId w:val="602425090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24. </w:t>
      </w:r>
      <w:r>
        <w:rPr>
          <w:rStyle w:val="clausesuff1"/>
          <w:rFonts w:eastAsia="Times New Roman"/>
          <w:b/>
          <w:bCs/>
          <w:color w:val="000080"/>
        </w:rPr>
        <w:t xml:space="preserve">Подотчетность Совета Министров Республики Каракалпакстан, хокимиятов областей и города Ташкента, районов и городов и территориальных распорядителей бюджетных средств 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Жокаргы Кенес Республики Каракалпакстан, Кенгаши народных депутатов обла</w:t>
      </w:r>
      <w:r>
        <w:rPr>
          <w:rFonts w:eastAsia="Times New Roman"/>
          <w:color w:val="000000"/>
        </w:rPr>
        <w:t>стей и города Ташкента, районов и городов имеют право заслушивать отчеты территориальных распорядителей бюджетных средств, финансируемых из соответствующих бюджетов, об эффективности использования бюджетных средств и достигнутых результатах.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Совет Министро</w:t>
      </w:r>
      <w:r>
        <w:rPr>
          <w:rFonts w:eastAsia="Times New Roman"/>
          <w:color w:val="000000"/>
        </w:rPr>
        <w:t xml:space="preserve">в Республики Каракалпакстан, хокимияты областей и города Ташкента представляют в Министерство финансов отчеты </w:t>
      </w:r>
      <w:r>
        <w:rPr>
          <w:rFonts w:eastAsia="Times New Roman"/>
          <w:color w:val="000000"/>
        </w:rPr>
        <w:lastRenderedPageBreak/>
        <w:t>об исполнении местных бюджетов для составления отчета Консолидированного бюджета Республики Узбекистан.</w:t>
      </w:r>
    </w:p>
    <w:p w:rsidR="00000000" w:rsidRDefault="008C1A85">
      <w:pPr>
        <w:shd w:val="clear" w:color="auto" w:fill="FFFFFF"/>
        <w:jc w:val="center"/>
        <w:divId w:val="70464645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Глава 5. Заключительные положения</w:t>
      </w:r>
    </w:p>
    <w:p w:rsidR="00000000" w:rsidRDefault="008C1A85">
      <w:pPr>
        <w:shd w:val="clear" w:color="auto" w:fill="FFFFFF"/>
        <w:ind w:firstLine="851"/>
        <w:jc w:val="both"/>
        <w:divId w:val="1223785948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25. </w:t>
      </w:r>
      <w:r>
        <w:rPr>
          <w:rStyle w:val="clausesuff1"/>
          <w:rFonts w:eastAsia="Times New Roman"/>
          <w:b/>
          <w:bCs/>
          <w:color w:val="000080"/>
        </w:rPr>
        <w:t>Ответственность за нарушение Закона о Государственном бюджете Республики Узбекистан на 2020 год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Лица, виновные в нарушении Закона о Государственном бюджете Республики Узбекистан на 2020 год, несут ответственность в установленном порядке.</w:t>
      </w:r>
    </w:p>
    <w:p w:rsidR="00000000" w:rsidRDefault="008C1A85">
      <w:pPr>
        <w:shd w:val="clear" w:color="auto" w:fill="FFFFFF"/>
        <w:ind w:firstLine="851"/>
        <w:jc w:val="both"/>
        <w:divId w:val="292442162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</w:t>
      </w:r>
      <w:r>
        <w:rPr>
          <w:rStyle w:val="clauseprfx1"/>
          <w:rFonts w:eastAsia="Times New Roman"/>
          <w:b/>
          <w:bCs/>
          <w:color w:val="000080"/>
        </w:rPr>
        <w:t xml:space="preserve">26. </w:t>
      </w:r>
      <w:r>
        <w:rPr>
          <w:rStyle w:val="clausesuff1"/>
          <w:rFonts w:eastAsia="Times New Roman"/>
          <w:b/>
          <w:bCs/>
          <w:color w:val="000080"/>
        </w:rPr>
        <w:t>Обеспечение исполнения, доведения, разъяснения сути и значения настоящего Закона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Кабинету Министров совместно с другими заинтересованными министерствами и ведомствами обеспечить исполнение, доведение до исполнителей и разъяснение среди населения сути и</w:t>
      </w:r>
      <w:r>
        <w:rPr>
          <w:rFonts w:eastAsia="Times New Roman"/>
          <w:color w:val="000000"/>
        </w:rPr>
        <w:t xml:space="preserve"> значения настоящего Закона.</w:t>
      </w:r>
    </w:p>
    <w:p w:rsidR="00000000" w:rsidRDefault="008C1A85">
      <w:pPr>
        <w:shd w:val="clear" w:color="auto" w:fill="FFFFFF"/>
        <w:ind w:firstLine="851"/>
        <w:jc w:val="both"/>
        <w:divId w:val="48085224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27. </w:t>
      </w:r>
      <w:r>
        <w:rPr>
          <w:rStyle w:val="clausesuff1"/>
          <w:rFonts w:eastAsia="Times New Roman"/>
          <w:b/>
          <w:bCs/>
          <w:color w:val="000080"/>
        </w:rPr>
        <w:t>Приведение законодательства в соответствие с настоящим Законом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Кабинету Министров: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привести решения правительства в соответствие с настоящим Законом;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обеспечить пересмотр и отмену органами государственного управления</w:t>
      </w:r>
      <w:r>
        <w:rPr>
          <w:rFonts w:eastAsia="Times New Roman"/>
          <w:color w:val="000000"/>
        </w:rPr>
        <w:t xml:space="preserve"> их нормативно-правовых актов, противоречащих настоящему Закону.</w:t>
      </w:r>
    </w:p>
    <w:p w:rsidR="00000000" w:rsidRDefault="008C1A85">
      <w:pPr>
        <w:shd w:val="clear" w:color="auto" w:fill="FFFFFF"/>
        <w:ind w:firstLine="851"/>
        <w:jc w:val="both"/>
        <w:divId w:val="1681851241"/>
        <w:rPr>
          <w:rFonts w:eastAsia="Times New Roman"/>
          <w:b/>
          <w:bCs/>
          <w:color w:val="000080"/>
        </w:rPr>
      </w:pPr>
      <w:r>
        <w:rPr>
          <w:rStyle w:val="clauseprfx1"/>
          <w:rFonts w:eastAsia="Times New Roman"/>
          <w:b/>
          <w:bCs/>
          <w:color w:val="000080"/>
        </w:rPr>
        <w:t xml:space="preserve">Статья 28. </w:t>
      </w:r>
      <w:r>
        <w:rPr>
          <w:rStyle w:val="clausesuff1"/>
          <w:rFonts w:eastAsia="Times New Roman"/>
          <w:b/>
          <w:bCs/>
          <w:color w:val="000080"/>
        </w:rPr>
        <w:t>Вступление в силу настоящего Закона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Настоящий Закон вступает в силу со дня его официального опубликования.</w:t>
      </w:r>
    </w:p>
    <w:p w:rsidR="00000000" w:rsidRDefault="008C1A85">
      <w:pPr>
        <w:shd w:val="clear" w:color="auto" w:fill="FFFFFF"/>
        <w:jc w:val="right"/>
        <w:divId w:val="1799493339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Президент Республики Узбекистан Ш. МИРЗИЁЕВ</w:t>
      </w:r>
    </w:p>
    <w:p w:rsidR="00000000" w:rsidRDefault="008C1A85">
      <w:pPr>
        <w:shd w:val="clear" w:color="auto" w:fill="FFFFFF"/>
        <w:jc w:val="center"/>
        <w:divId w:val="1871920331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lastRenderedPageBreak/>
        <w:t>г. Ташкент,</w:t>
      </w:r>
    </w:p>
    <w:p w:rsidR="00000000" w:rsidRDefault="008C1A85">
      <w:pPr>
        <w:shd w:val="clear" w:color="auto" w:fill="FFFFFF"/>
        <w:jc w:val="center"/>
        <w:divId w:val="165494763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9 декабря 2019 г.</w:t>
      </w:r>
      <w:r>
        <w:rPr>
          <w:rFonts w:eastAsia="Times New Roman"/>
          <w:color w:val="000000"/>
          <w:sz w:val="22"/>
          <w:szCs w:val="22"/>
        </w:rPr>
        <w:t>,</w:t>
      </w:r>
    </w:p>
    <w:p w:rsidR="00000000" w:rsidRDefault="008C1A85">
      <w:pPr>
        <w:shd w:val="clear" w:color="auto" w:fill="FFFFFF"/>
        <w:jc w:val="center"/>
        <w:divId w:val="102363340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№ ЗРУ-589</w:t>
      </w:r>
    </w:p>
    <w:p w:rsidR="00000000" w:rsidRDefault="008C1A85">
      <w:pPr>
        <w:shd w:val="clear" w:color="auto" w:fill="FFFFFF"/>
        <w:jc w:val="center"/>
        <w:divId w:val="159674812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ПРИЛОЖЕНИЕ № 1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2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2019 года № ЗРУ-589</w:t>
      </w:r>
    </w:p>
    <w:p w:rsidR="00000000" w:rsidRDefault="008C1A85">
      <w:pPr>
        <w:shd w:val="clear" w:color="auto" w:fill="FFFFFF"/>
        <w:jc w:val="center"/>
        <w:divId w:val="81594986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Сводные параметры Консолидированного бюджета Республики Узбекистан на 2020 год и бюджетные ориентиры на 2021-2022 годы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192"/>
        <w:gridCol w:w="1306"/>
        <w:gridCol w:w="1306"/>
        <w:gridCol w:w="1307"/>
      </w:tblGrid>
      <w:tr w:rsidR="00000000">
        <w:trPr>
          <w:divId w:val="39285403"/>
        </w:trPr>
        <w:tc>
          <w:tcPr>
            <w:tcW w:w="425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8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ind w:right="224"/>
              <w:jc w:val="right"/>
            </w:pPr>
            <w:r>
              <w:t>м</w:t>
            </w:r>
            <w:r>
              <w:t>лрд. сум</w:t>
            </w:r>
          </w:p>
        </w:tc>
      </w:tr>
      <w:tr w:rsidR="00000000">
        <w:trPr>
          <w:divId w:val="39285403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7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Прогноз на 2020 год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Бюджетные ориентиры на: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8C1A85"/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2022 год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I.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Доходы Консолидированного бюджета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158 960,1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191 781,6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226 318,5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Доходы Государственного бюджета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128 460,0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152 100,0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177 600,0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Доходы государственных целевых фондов</w:t>
            </w:r>
            <w:hyperlink r:id="rId23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25 385,1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30 686,6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33 570,5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Поступления в Фонд реконструкции и развития Республики Узбекистан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5 115,0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8 995,0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15 148,0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II.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Расходы Консолидированного бюджета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162 385,</w:t>
            </w:r>
            <w:r>
              <w:rPr>
                <w:b/>
                <w:bCs/>
              </w:rPr>
              <w:t>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192 957,0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223 854,7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Расходы Государственного бюджета</w:t>
            </w:r>
            <w:hyperlink r:id="rId24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121 856,4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142 497,8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159 455,1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Расходы государственных целевых фондов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35 413,6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41 464,2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49 251,6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Расходование средств Фонда реконструкции и развития Республики Узбекистан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5 115,0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8 995,0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15 148,0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III.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Трансферты в государственные целевые фонды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9 248,1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11 055,6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15 875,5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IV.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 xml:space="preserve">Сальдо Консолидированного бюджета </w:t>
            </w:r>
          </w:p>
          <w:p w:rsidR="00000000" w:rsidRDefault="008C1A85">
            <w:r>
              <w:rPr>
                <w:i/>
                <w:iCs/>
              </w:rPr>
              <w:t>(профицит +, дефицит -)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-3 424,9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-1 175,4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2 463,8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V.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 xml:space="preserve">Расходы государственных программ за счет внешнего долга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14 394,1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15 724,5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16 615,4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VI.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 xml:space="preserve">Общий фискальный баланс </w:t>
            </w:r>
          </w:p>
          <w:p w:rsidR="00000000" w:rsidRDefault="008C1A85">
            <w:r>
              <w:rPr>
                <w:i/>
                <w:iCs/>
              </w:rPr>
              <w:t>(профицит +, дефицит -)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-17 819,0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-16 899,9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-14 151,6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VII.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Погашение государственного долга</w:t>
            </w:r>
            <w:hyperlink r:id="rId25" w:history="1">
              <w:r>
                <w:rPr>
                  <w:color w:val="008080"/>
                </w:rPr>
                <w:t>**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3 289,9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4 221,8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4 988,4</w:t>
            </w:r>
          </w:p>
        </w:tc>
      </w:tr>
    </w:tbl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Без учета трансфертов в государственные целевые фонды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** В целях приведения статистики государственных финансов Республики Узбекистан в соответствие с международными стандартами с 2020 года погашение государственного долга (основной долг) не включены в расходы Государственного бюджета Республики Узбекистан.</w:t>
      </w:r>
    </w:p>
    <w:p w:rsidR="00000000" w:rsidRDefault="008C1A85">
      <w:pPr>
        <w:shd w:val="clear" w:color="auto" w:fill="FFFFFF"/>
        <w:jc w:val="center"/>
        <w:divId w:val="1026832802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</w:t>
      </w:r>
      <w:r>
        <w:rPr>
          <w:rFonts w:eastAsia="Times New Roman"/>
          <w:color w:val="000080"/>
          <w:sz w:val="22"/>
          <w:szCs w:val="22"/>
        </w:rPr>
        <w:t>РИЛОЖЕНИЕ № 2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6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2019 года № ЗРУ-589</w:t>
      </w:r>
    </w:p>
    <w:p w:rsidR="00000000" w:rsidRDefault="008C1A85">
      <w:pPr>
        <w:shd w:val="clear" w:color="auto" w:fill="FFFFFF"/>
        <w:jc w:val="center"/>
        <w:divId w:val="61375006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Прогноз основных макроэкономических показателей развития Республики Узбекистан на 2020 год и целевые ориентиры на 2021-2022 годы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5619"/>
        <w:gridCol w:w="1344"/>
        <w:gridCol w:w="1150"/>
        <w:gridCol w:w="1150"/>
      </w:tblGrid>
      <w:tr w:rsidR="00000000">
        <w:trPr>
          <w:divId w:val="39285403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Показат</w:t>
            </w:r>
            <w:r>
              <w:rPr>
                <w:b/>
                <w:bCs/>
              </w:rPr>
              <w:t>ели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Прогноз на 2020 год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Целевые ориентиры на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1A85"/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2022 год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lastRenderedPageBreak/>
              <w:t>1.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ind w:firstLine="57"/>
            </w:pPr>
            <w:r>
              <w:t>Валовый внутренний продукт, млрд.сум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653 546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786 227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923 076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ind w:firstLine="57"/>
            </w:pPr>
            <w:r>
              <w:t>Темп роста валового внутреннего продукта, в процентах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ind w:firstLine="57"/>
            </w:pPr>
            <w:r>
              <w:t>Индекс потребительских цен к декабрю прошлого года, в процентах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12,5-13,0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ind w:firstLine="57"/>
            </w:pPr>
            <w:r>
              <w:t>Темп роста промышленной продукции, в процентах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ind w:firstLine="57"/>
            </w:pPr>
            <w:r>
              <w:t>Темп роста производства сельского, лесного и рыбного хозяйства, в процентах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6.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ind w:firstLine="57"/>
            </w:pPr>
            <w:r>
              <w:t>Темп роста розничного товарооборота, в процентах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6,0</w:t>
            </w:r>
          </w:p>
        </w:tc>
      </w:tr>
    </w:tbl>
    <w:p w:rsidR="00000000" w:rsidRDefault="008C1A85">
      <w:pPr>
        <w:shd w:val="clear" w:color="auto" w:fill="FFFFFF"/>
        <w:jc w:val="center"/>
        <w:divId w:val="1549954892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3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7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2019 года № ЗРУ-589</w:t>
      </w:r>
    </w:p>
    <w:p w:rsidR="00000000" w:rsidRDefault="008C1A85">
      <w:pPr>
        <w:shd w:val="clear" w:color="auto" w:fill="FFFFFF"/>
        <w:jc w:val="center"/>
        <w:divId w:val="142707196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Прогноз доходов и расходы государственных целевых фондов и Фонда реконструкции и развития Республики Узбекистан на 2020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790"/>
        <w:gridCol w:w="1074"/>
        <w:gridCol w:w="1374"/>
        <w:gridCol w:w="1442"/>
        <w:gridCol w:w="1374"/>
        <w:gridCol w:w="1022"/>
      </w:tblGrid>
      <w:tr w:rsidR="00000000">
        <w:trPr>
          <w:divId w:val="39285403"/>
        </w:trPr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8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млн. сум</w:t>
            </w:r>
          </w:p>
        </w:tc>
      </w:tr>
      <w:tr w:rsidR="00000000">
        <w:trPr>
          <w:divId w:val="39285403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Остаток на начало года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Прогноз доходов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из них: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Остаток на конец года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трансферты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I.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Всего — государственных целевых фондов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5 535 876,9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34 633 195,3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9 248 082,8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35 413 612,8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4 755 459,4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Централизованный фонд по возмещению убытков физическим и юридическим лицам в связи с изъятием у них земельных участков для государственных и общественных нужд при Кабинете Министров Республики Узбекистан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215 801,6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134 801,6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215 801,6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Фонд «Эл-юрт уми</w:t>
            </w:r>
            <w:r>
              <w:t>ди» по подготовке специалистов за рубежом и диалогу с соотечественниками при Кабинете Министров Республики Узбекистан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57 074,9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57 074,9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57 074,9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Внебюджетный Пенсионный фонд при Министерстве финансов Республики Узбекистан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4 284 876,9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31 424</w:t>
            </w:r>
            <w:r>
              <w:rPr>
                <w:color w:val="000000"/>
              </w:rPr>
              <w:t xml:space="preserve"> 018,8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8 000 000,0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31 958 836,3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3 750 059,4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lastRenderedPageBreak/>
              <w:t>4.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Государственный фонд содействия занятости при Министерстве занятости и трудовых отношений Республики Узбекистан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75 700,0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418 000,0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488 000,0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5 700,0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Фонд поддержки и защиты прав и интересов граждан, осуществляющих трудовую деятельность за рубежом при Министерстве занятости и трудовых отношений Республики Узбекистан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56 700,0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10 800,0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62 800,0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4 700,0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Фонд общественных работ при Министерстве занятос</w:t>
            </w:r>
            <w:r>
              <w:t>ти и трудовых отношений Республики Узбекистан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251 100,0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250 000,0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251 100,0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Государственный фонд поддержки развития предпринимательской деятельности при Агентстве по развитию малого бизнеса и предпринимательства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865 900,0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228 000,0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357 300,0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736 600,0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Внебюджетный Фонд по управлению, трансформации и приватизации государственных активов при Агентстве по управлению государственными активами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43 700,0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150 000,0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150 000,0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43 700,0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Фонд «Yoshlar — kelajagimiz» при Союзе молодежи Узбекистана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407 000,0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200 000,0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407 000,0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Общественный фонд по поддержке женщин и семьи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188 800,0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188 800,0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Внебюджетный фонд развития информационно-коммуникационных технологий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552 000,0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552 000,0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Внебюджетный Республиканский целевой книжный фонд при Министерстве народного образования Республики Узбекистан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141 600,0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248 400,0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66 206,3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230 700,0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159 300,0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Фонд развития скорой медицинской помощи при Министерстве здравоохранения Республики Узбекистан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98 000,0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98 000,0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Фонд поддержки лиц с инвалидностью при Министерстве здравоохранения Республики Узбекистан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Внебюджетный Фонд поддерж</w:t>
            </w:r>
            <w:r>
              <w:t>ки туристской сферы при Государственном комитете Республики Узбекистан по развитию туризма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8 900,0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71 200,0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77 000,0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3 100,0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16.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Фонд развития садоводства и тепличного хозяйства при Агентстве по развитию садоводства и тепличного хозяйства при Министерстве сельского хозяйства Республики Узбекистан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136 200,0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80 000,0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136 200,0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17.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Фонд поддержки виноградарей и виноделов Агентства п</w:t>
            </w:r>
            <w:r>
              <w:t>о развитию виноградарства и виноделия при Министерстве сельского хозяйства Республики Узбекистан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5 500,0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175 000,0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180 500,0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18.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Фонд развития рыбоводства Ассоциации «Узбекбаликсаноат»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2 400,0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1 600,0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2 300,0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1 700,0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II.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  <w:color w:val="000000"/>
              </w:rPr>
              <w:t>Фонд реконструкции и р</w:t>
            </w:r>
            <w:r>
              <w:rPr>
                <w:b/>
                <w:bCs/>
                <w:color w:val="000000"/>
              </w:rPr>
              <w:t xml:space="preserve">азвития Республики Узбекистан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5 115 000,0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5 115 000,0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</w:tr>
    </w:tbl>
    <w:p w:rsidR="00000000" w:rsidRDefault="008C1A85">
      <w:pPr>
        <w:shd w:val="clear" w:color="auto" w:fill="FFFFFF"/>
        <w:jc w:val="center"/>
        <w:divId w:val="202023453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4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8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2019 года № ЗРУ-589</w:t>
      </w:r>
    </w:p>
    <w:p w:rsidR="00000000" w:rsidRDefault="008C1A85">
      <w:pPr>
        <w:shd w:val="clear" w:color="auto" w:fill="FFFFFF"/>
        <w:jc w:val="center"/>
        <w:divId w:val="39285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Прогноз</w:t>
      </w:r>
    </w:p>
    <w:p w:rsidR="00000000" w:rsidRDefault="008C1A85">
      <w:pPr>
        <w:shd w:val="clear" w:color="auto" w:fill="FFFFFF"/>
        <w:jc w:val="center"/>
        <w:divId w:val="175443081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доходов республиканского бюджета Республики Узбекистан на 2020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7031"/>
        <w:gridCol w:w="2173"/>
      </w:tblGrid>
      <w:tr w:rsidR="00000000">
        <w:trPr>
          <w:divId w:val="39285403"/>
        </w:trPr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80"/>
              </w:rPr>
            </w:pP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ind w:right="404"/>
              <w:jc w:val="right"/>
            </w:pPr>
            <w:r>
              <w:t>млрд. сум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000000">
        <w:trPr>
          <w:divId w:val="39285403"/>
        </w:trPr>
        <w:tc>
          <w:tcPr>
            <w:tcW w:w="38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Доходы республиканского бюджета Республики Узбекистан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98 186,1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Прямые налоги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25 187,2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1.1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Налог на прибыль 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19 839,0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1.2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Налог на доходы физических лиц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5 348,2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Косвенные налоги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52 165,6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2.1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Налог на добавленную стоимость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42 992,4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2.2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Акцизный налог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6 461,2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2.3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Таможенная пошлина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2 712,0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Ресурсные платежи и налог на имущество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15 340,2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3.1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Налог за пользование недрами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15 340,2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Прочие доходы и другие неналоговые поступления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5 493,1</w:t>
            </w:r>
          </w:p>
        </w:tc>
      </w:tr>
    </w:tbl>
    <w:p w:rsidR="00000000" w:rsidRDefault="008C1A85">
      <w:pPr>
        <w:shd w:val="clear" w:color="auto" w:fill="FFFFFF"/>
        <w:jc w:val="center"/>
        <w:divId w:val="330371290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5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29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2019 года № ЗРУ-589</w:t>
      </w:r>
    </w:p>
    <w:p w:rsidR="00000000" w:rsidRDefault="008C1A85">
      <w:pPr>
        <w:shd w:val="clear" w:color="auto" w:fill="FFFFFF"/>
        <w:jc w:val="center"/>
        <w:divId w:val="39285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Предельные размеры</w:t>
      </w:r>
    </w:p>
    <w:p w:rsidR="00000000" w:rsidRDefault="008C1A85">
      <w:pPr>
        <w:shd w:val="clear" w:color="auto" w:fill="FFFFFF"/>
        <w:jc w:val="center"/>
        <w:divId w:val="25401798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ассигнований, выделяемых из республиканского бюджета Республики Узбекистан распорядителям бюджетных средств первого ур</w:t>
      </w:r>
      <w:r>
        <w:rPr>
          <w:rFonts w:eastAsia="Times New Roman"/>
          <w:b/>
          <w:bCs/>
          <w:color w:val="000080"/>
        </w:rPr>
        <w:t>овня на 2020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8003"/>
        <w:gridCol w:w="1202"/>
      </w:tblGrid>
      <w:tr w:rsidR="00000000">
        <w:trPr>
          <w:divId w:val="39285403"/>
        </w:trPr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8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ind w:right="224"/>
              <w:jc w:val="right"/>
            </w:pPr>
            <w:r>
              <w:t>млн. сум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000000">
        <w:trPr>
          <w:divId w:val="39285403"/>
        </w:trPr>
        <w:tc>
          <w:tcPr>
            <w:tcW w:w="4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Ассигнования выделяемые из республиканского бюджета. 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100 830 566,4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74 026 964,6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12 441 609,1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трансферты государственным целевым фондам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9 248 082,8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Регулирующие трансферты, выделяемые из республиканского бюджета Республики Узбекистан в бюдже</w:t>
            </w:r>
            <w:r>
              <w:t>т Республики Каракалпакстан, местные бюджеты областей и города Ташкента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5 113 909,9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народного образования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18 616 652,2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17 267 180,0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1 283 265,9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трансферты Республиканскому целевому книжному фонду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66 206,3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дошкольного образования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5 178 570,5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3 667 720,5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1 510 850,0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высшего и среднего специального образования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3 314 709,3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2 869 049,3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445 660,0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здравоохранения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3 070 202,4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1 923 830,5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1 146 371,9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культуры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746 516,2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569 908,7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капитальные вложения на проектирование, строительство (реконструкцию) и оснащение объектов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176 607,5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физической культуры и спорта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893 535,9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438 126,0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капитальные вложения на проекти</w:t>
            </w:r>
            <w:r>
              <w:t xml:space="preserve">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455 409,9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инновационного развития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604 557,8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584 557,8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жилищно-коммунального хозяйства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1 457 430,6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98 443,3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1 358 987,3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сельского хозяйства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535 749,6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393 854,3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21 895,3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трансферты Фонду поддержки виноградарей и виноделов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трансферты Фонду развития садоводства и тепличного хозяйства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10.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водного хозяйства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2 682 003,5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1 702 170,5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979 833,0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11.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энергетики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41 059,5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41 059,5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12.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транспорта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2 668 331,5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682 483,0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1 985 848,5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13.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Государственный комитет Республики Узбекистан по экологии и охране окружающей среды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19 916,2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7 096,8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12 819,4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14.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Государственный комитет Республики Узбекистан по геологии и минеральным ресурсам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2 284 205,0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2 284 205,0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из них: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субсидии на геологоразведочные работы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1 500 000,0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15.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Государственный комитет Республики Узбекистан по земельным рес</w:t>
            </w:r>
            <w:r>
              <w:rPr>
                <w:b/>
                <w:bCs/>
              </w:rPr>
              <w:t>урсам, геодезии, картографии и государственному кадастру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98 113,8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95 630,8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2 483,0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16.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Государственный комитет Республики Узбекистан по развитию туризма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235 138,6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215 138,6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17.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Государственный комитет промышленной безопасности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14 432,1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14 432,1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18.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Государственный комитет Республи</w:t>
            </w:r>
            <w:r>
              <w:rPr>
                <w:b/>
                <w:bCs/>
              </w:rPr>
              <w:t>ки Узбекистан по лесному хозяйству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42 188,9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41 118,9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1 070,0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19.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Государственный комитет ветеринарии и развития животноводства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188 245,1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168 941,3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19 303,8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20.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Антимонопольный комитет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9 446,2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9 446,2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21.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Узбекское агентство стандартизации, метрологии и сертификаци</w:t>
            </w:r>
            <w:r>
              <w:rPr>
                <w:b/>
                <w:bCs/>
              </w:rPr>
              <w:t>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16 367,1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16 367,1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22.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Агентство по развитию рынка капитала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3 478,7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3 478,7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23.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Агентство по управлению государственными активами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8 422,0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8 422,0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24.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занятости и трудовых отношений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408 182,6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8 182,6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трансферты Государственному фонду содействия занятости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трансферты Фонду общественных работ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250 000,0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25.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Государственный комитет Республики Узбекист</w:t>
            </w:r>
            <w:r>
              <w:rPr>
                <w:b/>
                <w:bCs/>
              </w:rPr>
              <w:t>ан по статистике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151 260,1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151 260,1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26.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строительства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98 551,8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5 953,3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92 598,5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27.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иностранных дел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421 426,5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277 426,5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144 000,0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28.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rStyle w:val="a6"/>
              </w:rPr>
              <w:t>Министерство инвестиций и внешней торговли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65 590,4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65 590,4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29.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по развитию информационных технологий и коммуникаций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95 034,9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95 034,9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30.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юстиции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130 378,0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130 378,0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31.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экономики и промышленности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224 590,6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74 590,6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капитальные вложения на проектирование, с</w:t>
            </w:r>
            <w:r>
              <w:t xml:space="preserve">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трансферты Государственному фонду поддержки предпринимательской деятельности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32.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Министерство финансов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27 588 744,1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13 260 189,3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расходы на повышение размеров заработной платы, пенсий, стипендий и пособий, а также тарифов отдельных видов услуг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3 214 078,3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пособия по беременности и родам, работающим в бюджетных организациях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331 097,3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социальные расходы по внебюджетному Пенсионному фонду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3 429 223,3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процентные расходы на обслуживание государственного долга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2 145 117,8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финансирование программ строительства жилья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1 905 000,0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расходы на социально-экономическое развитие регионов в соо</w:t>
            </w:r>
            <w:r>
              <w:t>тветствии с поручениями Президента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1 400 000,0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возврат суммы превышения по налогу на добавленную стоимость, образовавшейся в результате применения нулевой ставки населению по услугам тепло- и водоснабжения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264 159,1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субсидии на покрытие расходов по электроэнергии фермерскими хозяйствами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444 595,0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средства на оплату юридической помощи оказываемой адвокатами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21 982,4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расходы на оплату услуг отделений (филиалов) Народного банка по выплате пособий семьям с детьми, по</w:t>
            </w:r>
            <w:r>
              <w:t>собий по уходу за ребенком и материальной помощи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12 292,2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 Министерства финансов и организаций, входящих в его структуру и другие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92 643,9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 xml:space="preserve">1 214 </w:t>
            </w:r>
            <w:r>
              <w:t>644,9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нераспределенные средства Инвестиционной программы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206 218,9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расходы государственных программ «Обод кишлок» и «Обод махалла»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программа развития региона Приаралья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303 426,0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вклады Республики Узбекистан по проектам реализуемых с участием международных финансовых институтов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205 000,0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трансферты внебюджетному Пенсионному фонду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8 000 000,0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регулирующие трансферты, выделяемые из республиканского бюджета Республики Узбекистан в бюджет Республики Каракалпакстан, местные бюджеты областей и города Ташкента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5 113 909,9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33.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Государственный налоговый комитет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1 038 509,6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1 038 509,6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34.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Кабинет Министров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1 480 696,8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1 245 820,3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из них, резервный фонд Кабинета Министров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731 000,0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43 000,0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трансферты Фонду «Эл-юрт умиди»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57 074,9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трансферты централизованному фонду по возмещению причине</w:t>
            </w:r>
            <w:r>
              <w:t>нного физическим и юридическим лицам ущерба в связи с изъятием земельных участков для нужд государства и общества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134 801,6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35.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Администрация Президента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742 577,9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612 577,9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</w:t>
            </w:r>
            <w:r>
              <w:t xml:space="preserve">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36.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Сенат Олий Мажлиса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20 962,8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20 962,8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капитальные вложения на проектирование, строительство (реконструкц</w:t>
            </w:r>
            <w:r>
              <w:t xml:space="preserve">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37.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Законодательная палата Олий Мажлиса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115 155,8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115 155,8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38.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Уполномоченный Олий Мажлиса Республики Узбекистан по правам человека (Омбудсман)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3 943,6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3 943,6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39.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Генеральная прокуратура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734 184,7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688 184,7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46 000,0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40.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Верховный суд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448 920,4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384 920,4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64 000,0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41.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Конституционный суд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3 766,4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3 766,4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42.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Высший судейский совет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18 709,7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18 709,7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капитальные вложения на проектирование, строительство (реко</w:t>
            </w:r>
            <w:r>
              <w:t xml:space="preserve">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43.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Центральная избирательная комиссия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4 315,0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4 315,0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44.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Национальная телерадиокомпания Узбекистана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420 216,5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395 316,5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24 900,0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45.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Национальное информационное агентство Узбекистана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11 695,7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11 695,7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46.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Агентство «Узархив»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8 627,9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8 627,9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47.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Национальная палата инновационного здравоохранения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2 437,9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2 437,9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капитальные вложения на проектиро</w:t>
            </w:r>
            <w:r>
              <w:t xml:space="preserve">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48.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Республиканский центр духовности и просветительства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9 669,1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9 669,1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49.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Центр гидрометеорологической службы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73 862,7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63 274,1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10 588,6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50.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Национальный центр Республики Узбекистан по правам человека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7 530,2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7 530,2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капитальные вложения на проектирование</w:t>
            </w:r>
            <w:r>
              <w:t xml:space="preserve">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51.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Фонд «Нуроний» по социальной поддержке ветеранов Узбекистана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1 743,4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1 743,4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52.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Союз молодежи Узбекистана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372 052,5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172 052,5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трансферты Фонду «Yoshlar — kelajagimiz»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200 000,0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53.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Комитет женщин Узбекистана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121 518,0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1 518,0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</w:t>
            </w:r>
            <w:r>
              <w:t xml:space="preserve">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трансферты Общественному фонду по поддержке женщин и семьи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54.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Федерация профсоюзов Узбекистана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120 000,0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120 000,0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55.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Академия наук Республики Узбекистан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218 352,6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187 446,9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капитальные вложения на проектирование, строительство (реконструкцию)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30 905,7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56.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>Прочие организации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22 938 085,5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i/>
                <w:iCs/>
              </w:rPr>
              <w:t>в том числе: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текущие расходы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21 737 519,6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капитальные вложения на проектирование, строительство (реконструкцию)</w:t>
            </w:r>
            <w:r>
              <w:t xml:space="preserve"> и оснащение объектов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1 200 565,9</w:t>
            </w:r>
          </w:p>
        </w:tc>
      </w:tr>
    </w:tbl>
    <w:p w:rsidR="00000000" w:rsidRDefault="008C1A85">
      <w:pPr>
        <w:shd w:val="clear" w:color="auto" w:fill="FFFFFF"/>
        <w:jc w:val="center"/>
        <w:divId w:val="35850482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6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0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2019 года № ЗРУ-589</w:t>
      </w:r>
    </w:p>
    <w:p w:rsidR="00000000" w:rsidRDefault="008C1A85">
      <w:pPr>
        <w:shd w:val="clear" w:color="auto" w:fill="FFFFFF"/>
        <w:jc w:val="center"/>
        <w:divId w:val="39285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Прогнозы</w:t>
      </w:r>
    </w:p>
    <w:p w:rsidR="00000000" w:rsidRDefault="008C1A85">
      <w:pPr>
        <w:shd w:val="clear" w:color="auto" w:fill="FFFFFF"/>
        <w:jc w:val="center"/>
        <w:divId w:val="25848497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доходов и расходов бюджета Республики Каракалпакстан, местных бюджетов областей и города Ташкента на 2020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399"/>
        <w:gridCol w:w="1612"/>
        <w:gridCol w:w="2194"/>
      </w:tblGrid>
      <w:tr w:rsidR="00000000">
        <w:trPr>
          <w:divId w:val="39285403"/>
        </w:trPr>
        <w:tc>
          <w:tcPr>
            <w:tcW w:w="38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80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ind w:right="404"/>
              <w:jc w:val="right"/>
            </w:pPr>
            <w:r>
              <w:t>млрд. сум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Наименование регионов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Расходы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Республика Каракалпакстан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2 833,3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2 833,3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Андижанская область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2 187,4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2 803,6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Бухарская область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2 142,3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2 142,3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Джизакская область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1 050,8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1 499,0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Кашкадарьинская область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2 935,7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3 693,8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Навоийская область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1 353,6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1 353,6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Наманганская область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2 016,5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2 994,2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Самаркандская область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2 714,8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3 036,6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Сурхандарьинская область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1 741,6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2 580,7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Сырдарьинская область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751,1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1 095,0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Ташкентская область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2 582,9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2 582,9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Ферганская область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3 005,6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3 357,5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Хорезмская область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1 402,2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1 859,2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14.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город Ташкент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3 556,1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3 556,1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30 273,9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35 387,8</w:t>
            </w:r>
          </w:p>
        </w:tc>
      </w:tr>
    </w:tbl>
    <w:p w:rsidR="00000000" w:rsidRDefault="008C1A85">
      <w:pPr>
        <w:shd w:val="clear" w:color="auto" w:fill="FFFFFF"/>
        <w:jc w:val="center"/>
        <w:divId w:val="1893081628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7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1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2019 года № ЗРУ-589</w:t>
      </w:r>
    </w:p>
    <w:p w:rsidR="00000000" w:rsidRDefault="008C1A85">
      <w:pPr>
        <w:shd w:val="clear" w:color="auto" w:fill="FFFFFF"/>
        <w:jc w:val="center"/>
        <w:divId w:val="39285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Размеры</w:t>
      </w:r>
    </w:p>
    <w:p w:rsidR="00000000" w:rsidRDefault="008C1A85">
      <w:pPr>
        <w:shd w:val="clear" w:color="auto" w:fill="FFFFFF"/>
        <w:jc w:val="center"/>
        <w:divId w:val="68710368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выравнивающих межбюджетных трансфертов, выделяемых из республиканского бюджета местным бюджетам областей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5797"/>
        <w:gridCol w:w="3466"/>
      </w:tblGrid>
      <w:tr w:rsidR="00000000">
        <w:trPr>
          <w:divId w:val="39285403"/>
        </w:trPr>
        <w:tc>
          <w:tcPr>
            <w:tcW w:w="31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8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ind w:right="404"/>
              <w:jc w:val="right"/>
            </w:pPr>
            <w:r>
              <w:t>млрд. сум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Наименование регионов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Андижанская область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616,2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Джизакская область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448,2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</w:t>
            </w:r>
          </w:p>
        </w:tc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Кашкадарьинская область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758,1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4.</w:t>
            </w:r>
          </w:p>
        </w:tc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Наманганская область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977,7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5.</w:t>
            </w:r>
          </w:p>
        </w:tc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Самаркандская область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321,8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6.</w:t>
            </w:r>
          </w:p>
        </w:tc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Сурхандарьинская область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839,1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7.</w:t>
            </w:r>
          </w:p>
        </w:tc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Сырдарьинская область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343,9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8.</w:t>
            </w:r>
          </w:p>
        </w:tc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Ферганская область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351,9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9.</w:t>
            </w:r>
          </w:p>
        </w:tc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Хорезмская область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457,0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5 113,9</w:t>
            </w:r>
          </w:p>
        </w:tc>
      </w:tr>
    </w:tbl>
    <w:p w:rsidR="00000000" w:rsidRDefault="008C1A85">
      <w:pPr>
        <w:shd w:val="clear" w:color="auto" w:fill="FFFFFF"/>
        <w:jc w:val="center"/>
        <w:divId w:val="697513580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8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2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2019 года № ЗРУ-589</w:t>
      </w:r>
    </w:p>
    <w:p w:rsidR="00000000" w:rsidRDefault="008C1A85">
      <w:pPr>
        <w:shd w:val="clear" w:color="auto" w:fill="FFFFFF"/>
        <w:jc w:val="center"/>
        <w:divId w:val="39285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Ставки</w:t>
      </w:r>
    </w:p>
    <w:p w:rsidR="00000000" w:rsidRDefault="008C1A85">
      <w:pPr>
        <w:shd w:val="clear" w:color="auto" w:fill="FFFFFF"/>
        <w:jc w:val="center"/>
        <w:divId w:val="1648973337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акцизного налога на подакцизные товары (услуги), производимые (оказываемые) в Республике Узбекистан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632"/>
        <w:gridCol w:w="1622"/>
        <w:gridCol w:w="1427"/>
        <w:gridCol w:w="1524"/>
      </w:tblGrid>
      <w:tr w:rsidR="00000000">
        <w:trPr>
          <w:divId w:val="39285403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4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Наименование товаров (услуг)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Налоговая ставка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 1 января 2020 года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 1 апреля 2020 года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 1 октября 2020 года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Спирт этиловый ректификованный из п</w:t>
            </w:r>
            <w:r>
              <w:t>ищевого сырья, спирт этиловый ректификованный технический из эфироальдегидной фракции и фракция головная этилового спирта (за 1 дал)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10 800 сум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11 700 сум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12 500 сум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Вина (за 1 дал готовой продукции):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натуральные естественного брожения </w:t>
            </w:r>
            <w:r>
              <w:t>(без добавления этилового спирта)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7 700 сум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8 300 сум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прочие вина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14 500 сум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15 700 сум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16 800 сум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Коньяк (за 1 дал готовой продукции)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102 000 сум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109 100 сум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116 400 сум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на коньяк с объемной долей спирта свыше 40 процентов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168 100 сум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179 700 сум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192 300 сум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Водка и прочая алкогольная продукция (за 1 дал готовой продукции)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98 000 сум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107 800 сум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116 400 сум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на водку и прочую алкогольную продукцию с объемной долей спирта свыше 40 процентов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162 700 сум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179 000 сум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192 300 сум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Пиво (за 1 да</w:t>
            </w:r>
            <w:r>
              <w:t>л готовой продукции)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10 600 сум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11 700 сум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Сигареты с фильтром, без фильтра, папиросы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141 500 сум/ 1000 штук + 9,0 процента</w:t>
            </w:r>
            <w:hyperlink r:id="rId33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152 800 сум/ 1000 штук + 9,0 процента</w:t>
            </w:r>
            <w:hyperlink r:id="rId34" w:history="1">
              <w:r>
                <w:rPr>
                  <w:color w:val="008080"/>
                </w:rPr>
                <w:t>*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163 500 сум/ 1000 штук + 9,0 процента</w:t>
            </w:r>
            <w:hyperlink r:id="rId35" w:history="1">
              <w:r>
                <w:rPr>
                  <w:color w:val="008080"/>
                </w:rPr>
                <w:t>*</w:t>
              </w:r>
            </w:hyperlink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Ювелирные изделия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25%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Услуги мобильной связи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20%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Столовые приборы из серебра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11%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Нефтепродукты: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бензин Аи-80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200 000 сум/ тонну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бензин Аи-91, Аи-92, Аи-93, Аи-95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250 000 сум/ тонну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дизтопливо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200 000 сум/ тонну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дизтопливо ЭКО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180 000 сум/ тонну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авиакеросин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180 000 сум/ тонну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моторное масло для дизельных или карбюраторных (инжекторных) двигателей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250 000 сум/ тонну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Газ природный, включая экспорт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20%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Сжиженный газ, реализуемый предприятиями-производителями (за исключением объемов, реализуемых населению через межрегиональные унитарные предприятия АК «Узтрансгаз»), в том числе экспорт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30%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Полиэтиленовые гранулы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30%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14.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Реализуемый конечному потребителю:</w:t>
            </w:r>
            <w:hyperlink r:id="rId36" w:history="1">
              <w:r>
                <w:rPr>
                  <w:color w:val="008080"/>
                  <w:vertAlign w:val="superscript"/>
                </w:rPr>
                <w:t>**</w:t>
              </w:r>
            </w:hyperlink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бензин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285 сум за 1 литр / 378 480 сум за 1 тонну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350 сум за 1 литр / 465 530 сум за 1 тонну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дизельное топливо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285 сум за 1 литр /</w:t>
            </w:r>
            <w:r>
              <w:t xml:space="preserve"> 346 275 сум за 1 тонну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350 сум за 1 литр / 425 918 сум за 1 тонну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сжиженный газ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285 сум за 1 литр/ 540 645 сум за 1 тонну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350 сум за 1 литр/ 664 993 сум за 1 тонну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сжатый газ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435 сум за 1 куб. метр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500 сум за 1 куб. метр</w:t>
            </w:r>
          </w:p>
        </w:tc>
      </w:tr>
    </w:tbl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Фиксированная ставка акцизного налога применяется к объему подакцизных товаров в натуральном выражении, адвалорная ставка акцизного налога применяется к стоимости реализованных товаров производителя, не включающей акцизный налог и налог на добавленную ст</w:t>
      </w:r>
      <w:r>
        <w:rPr>
          <w:rFonts w:eastAsia="Times New Roman"/>
          <w:color w:val="339966"/>
          <w:sz w:val="20"/>
          <w:szCs w:val="20"/>
        </w:rPr>
        <w:t xml:space="preserve">оимость. 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** При реализации бензина, дизельного топлива и сжиженного газа через автозаправочные станции, акцизный налог исчисляется из расчета за 1 литр, а в остальных случаях из расчета за 1 тонну.</w:t>
      </w:r>
    </w:p>
    <w:p w:rsidR="00000000" w:rsidRDefault="008C1A85">
      <w:pPr>
        <w:shd w:val="clear" w:color="auto" w:fill="FFFFFF"/>
        <w:jc w:val="center"/>
        <w:divId w:val="608127014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9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37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2019 года № ЗРУ-589</w:t>
      </w:r>
    </w:p>
    <w:p w:rsidR="00000000" w:rsidRDefault="008C1A85">
      <w:pPr>
        <w:shd w:val="clear" w:color="auto" w:fill="FFFFFF"/>
        <w:jc w:val="center"/>
        <w:divId w:val="39285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Ставки</w:t>
      </w:r>
    </w:p>
    <w:p w:rsidR="00000000" w:rsidRDefault="008C1A85">
      <w:pPr>
        <w:shd w:val="clear" w:color="auto" w:fill="FFFFFF"/>
        <w:jc w:val="center"/>
        <w:divId w:val="197298027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земельного налога с юридических и физических лиц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367"/>
        <w:gridCol w:w="302"/>
        <w:gridCol w:w="1657"/>
        <w:gridCol w:w="904"/>
        <w:gridCol w:w="1506"/>
        <w:gridCol w:w="151"/>
        <w:gridCol w:w="904"/>
        <w:gridCol w:w="904"/>
        <w:gridCol w:w="904"/>
        <w:gridCol w:w="753"/>
        <w:gridCol w:w="2259"/>
      </w:tblGrid>
      <w:tr w:rsidR="00000000">
        <w:trPr>
          <w:divId w:val="39285403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8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ind w:right="404"/>
              <w:jc w:val="right"/>
            </w:pPr>
            <w:r>
              <w:rPr>
                <w:color w:val="000000"/>
              </w:rPr>
              <w:br/>
              <w:t>Таблица 1</w:t>
            </w:r>
          </w:p>
        </w:tc>
      </w:tr>
      <w:tr w:rsidR="00000000">
        <w:trPr>
          <w:divId w:val="3928540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Ставки земельного налога за использование земельных участков в городах и поселках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Город, область</w:t>
            </w:r>
          </w:p>
        </w:tc>
        <w:tc>
          <w:tcPr>
            <w:tcW w:w="15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Ставки земельного налога, взимаемого с юридических лиц за 1 га, в сумах</w:t>
            </w:r>
          </w:p>
        </w:tc>
        <w:tc>
          <w:tcPr>
            <w:tcW w:w="18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Базовые ставки земельного налога, взимаемого с граждан за земли, предоставленные для индивидуального жилищного строительства за 1 кв.м, в сумах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Ангрен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23 977 101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219,3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Андижан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28 741 121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258,8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Асака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Бекабад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17 192 365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Беруни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18 291 499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166,8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Бухара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23 244 127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213,0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Гулистан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18 113 745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166,8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Денау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18 176 438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166,8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Джизак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23 244 127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213,0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Зарафшан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Каттакурган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Каган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Касансай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Маргилан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Навои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23 244 127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213,0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Наманган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28 741 121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258,8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Нукус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22 783 377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213,0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Нурафшон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14 326 971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128,0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Акташ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Алмалык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23 977 101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219,3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Ахангаран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17 192 365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Питнак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Самарканд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28 741 121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258,8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Сырдарья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15 820 533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Тахиаташ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18 291 499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172,6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Термез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20 459 076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192,7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Ташкент: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1 зона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181 022 147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1 037,9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 xml:space="preserve">2 зона 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144 817 718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881,0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 xml:space="preserve">3 зона 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108 613 288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724,0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 xml:space="preserve">4 зона 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72 408 859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567,2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 xml:space="preserve">5 зона 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36 204 430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410,3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Турткуль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15 820 533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144,7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Ургенч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23 244 127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213,0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Ургут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Учкудук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Учкурган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Фергана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23 244 127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213,0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Хива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Ханабад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Ходжейли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19 212 855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166,8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Чимбай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Чирчик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23 977 101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219,3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Чартак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Чуст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Шахрисабз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Шахрихан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Ширин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15 820 533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Янгиер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15 820 533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Янгиюль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17 192 365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Янгиабад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17 192 365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Гиждуван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Карши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23 244 127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213,0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Карасу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Кува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Кувасай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Коканд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23 244 127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213,0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Кунград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Хаккулабад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Прочие малые города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Республика Каракалпакстан: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северная зона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12 962 337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119,9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центральная зона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14 396 369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138,5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южная зона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15 998 633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140,1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Андижанская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Бухарская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Джизакская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Кашкадарьинская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Навоийская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Наманганская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Самаркандская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17 223 806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Сурхандарьинская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18 176 438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166,8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Сырдарьинская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15 820 533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Ташкентская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17 192 365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Ферганская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Хорезмская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16 459 361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146,4</w:t>
            </w:r>
          </w:p>
        </w:tc>
      </w:tr>
      <w:tr w:rsidR="00000000">
        <w:trPr>
          <w:divId w:val="39285403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  <w:color w:val="000000"/>
              </w:rPr>
              <w:t>Поселки и сельские населенные пункты, являющиеся районными центрами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Республика Каракалпакстан: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северная зона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10 915 296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99,2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центральная зона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12 124 537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116,4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южная зона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13 475 331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119,1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Андижанская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14 700 314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133,4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Бухарская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13 936 047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125,7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Джизакская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13 936 047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125,7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Кашкадарьинская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13 936 047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125,7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Навоийская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13 936 047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125,7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Наманганская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14 700 314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133,4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Самаркандская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14 700 314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133,4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Сурхандарьинская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15 653 149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143,6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Сырдарьинская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13 297 308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122,2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Ташкентская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14 668 965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133,4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Ферганская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13 936 047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125,7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Хорезмская область</w:t>
            </w:r>
          </w:p>
        </w:tc>
        <w:tc>
          <w:tcPr>
            <w:tcW w:w="15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13 936 047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125,7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ind w:right="404"/>
              <w:jc w:val="right"/>
            </w:pPr>
            <w:r>
              <w:br/>
              <w:t>Таблица 2</w:t>
            </w:r>
          </w:p>
        </w:tc>
      </w:tr>
      <w:tr w:rsidR="00000000">
        <w:trPr>
          <w:divId w:val="39285403"/>
          <w:trHeight w:val="55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Ставки земельного налога, взимаемого с юридических лиц за использование земельных участков, расположенных в сельской местности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Республика, область</w:t>
            </w:r>
          </w:p>
        </w:tc>
        <w:tc>
          <w:tcPr>
            <w:tcW w:w="33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Ставки земельного налога за 1 га, в сумах за: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21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земли, отведенные юридическим лицам, по зонам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земли, занятые под рудниками и карьерами, по зонам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1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орошаемая</w:t>
            </w:r>
          </w:p>
        </w:tc>
        <w:tc>
          <w:tcPr>
            <w:tcW w:w="6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богарно-пастбищная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орошаемая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богарно-пастбищная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в населенных пунктах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вне населенных пунктов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Республика Каракалпакстан: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северная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8 176 434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7 591 397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370 655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2 144 278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72 759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центральная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9 082 271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8 440 061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458 695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2 385 234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114 553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южная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10 091 373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9 380 246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504 663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2 637 127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137 599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Андижанская область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10 320 788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9 598 416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516 207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2 947 294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149 254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Бухарская область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9 976 618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9 369 072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504 642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2 637 418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137 649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Джизакская область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9 288 551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8 783 966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470 306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1 926 539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91 748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Кашкадарьинская область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9 288 551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8 783 966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470 306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1 857 649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91 748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Навоийская область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9 632 677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9 116 490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481 548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2 293 504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114 566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Наманганская область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9 472 022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9 059 204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458 695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2 798 141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137 649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Самаркандская область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10 894 006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9 999 657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550 456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3 486 134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171 906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Сурхандарьинская область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11 926 180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10 779 485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596 372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4 518 106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229 388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Сырдарьинская область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9 288 551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8 852 932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470 306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1 949 369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103 326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Ташкентская область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10 894 006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9 976 618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550 456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3 451 876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171 906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Ферганская область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9 976 618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9 334 447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504 642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2 591 547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125 979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Хорезмская область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10 091 373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9 380 309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504 642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2 648 887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137 649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ind w:right="404"/>
              <w:jc w:val="right"/>
            </w:pPr>
            <w:r>
              <w:br/>
              <w:t>Таблица 3</w:t>
            </w:r>
          </w:p>
        </w:tc>
      </w:tr>
      <w:tr w:rsidR="00000000">
        <w:trPr>
          <w:divId w:val="39285403"/>
          <w:trHeight w:val="55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Ставки земельного налога, взимаемого с граждан за использование земельных участков, расположенных в сельской местности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5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Республика, область</w:t>
            </w:r>
          </w:p>
        </w:tc>
        <w:tc>
          <w:tcPr>
            <w:tcW w:w="325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Ставки земельного налога за 0,01 га, в сумах за: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23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земли, предоставленные для ведения дехканского хозяйства</w:t>
            </w:r>
          </w:p>
        </w:tc>
        <w:tc>
          <w:tcPr>
            <w:tcW w:w="9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земли, предоставленные для ведения коллективного садоводства и огородничества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17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орошаемая зона</w:t>
            </w:r>
          </w:p>
        </w:tc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богарные земли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в населенных пунктах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вне населенных пунктов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Республика Каракалпакстан: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северная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4 792,1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2 402,4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479,3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2 534,3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центральная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7 674,1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3 839,2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777,2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-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южная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8 525,2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4 261,6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855,6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3 135,2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Андижанская область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9 009,9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4 501,4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893,6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3 492,1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Бухарская область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8 513,5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4 254,4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789,5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3 119,7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Джизакская область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7 979,2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3 990,8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573,4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2 242,0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Кашкадарьинская область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7 979,2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3 990,8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565,9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2 196,5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Навоийская область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8 282,3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4 139,3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683,8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2 717,2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Наманганская область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8 625,9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4 314,1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855,6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3 309,8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Самаркандская область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9 098,3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4 550,0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1 054,6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4 114,9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Сурхандарьинская область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9 809,5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4 906,6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1 378,5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5 358,0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Сырдарьинская область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8 045,2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4 023,6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595,2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2 300,7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Ташкентская область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9 076,5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4 538,9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1 047,4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4 088,3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Ферганская область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8 487,7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4 244,3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782,0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3 064,3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13.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Хорезмская область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8 525,2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4 261,6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806,6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3 135,2</w:t>
            </w:r>
          </w:p>
        </w:tc>
      </w:tr>
    </w:tbl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Примечания к </w:t>
      </w:r>
      <w:hyperlink r:id="rId38" w:history="1">
        <w:r>
          <w:rPr>
            <w:rFonts w:eastAsia="Times New Roman"/>
            <w:color w:val="008080"/>
            <w:sz w:val="20"/>
            <w:szCs w:val="20"/>
          </w:rPr>
          <w:t>приложению № 9</w:t>
        </w:r>
      </w:hyperlink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1. К ставкам, приведенным в таблицах 2 и 3, в зависимости от местоположения земельных участков, применяются коэффициенты: в радиусе 20 км от города Ташкента — 1,30, в радиусе 15 км от столицы Республики Каракалпакстан и областных центров — 1,20, в радиусе </w:t>
      </w:r>
      <w:r>
        <w:rPr>
          <w:rFonts w:eastAsia="Times New Roman"/>
          <w:color w:val="339966"/>
          <w:sz w:val="20"/>
          <w:szCs w:val="20"/>
        </w:rPr>
        <w:t>10 км от районных центров — 1,15 и в радиусе 5 км от других городов — 1,10.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Расстояние до земельных участков определяется от административных границ городов и районных центров по автомобильным дорогам. В случаях, когда земельный участок находится вблизи дв</w:t>
      </w:r>
      <w:r>
        <w:rPr>
          <w:rFonts w:eastAsia="Times New Roman"/>
          <w:color w:val="339966"/>
          <w:sz w:val="20"/>
          <w:szCs w:val="20"/>
        </w:rPr>
        <w:t>ух городов, принимается коэффициент, соответствующий более высокому функциональному назначению города.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2. При исчислении земельного налога, взимаемого с дехканских хозяйств, к ставкам, приведенным в таблице 3 в зависимости от качества земель, применяются к</w:t>
      </w:r>
      <w:r>
        <w:rPr>
          <w:rFonts w:eastAsia="Times New Roman"/>
          <w:color w:val="339966"/>
          <w:sz w:val="20"/>
          <w:szCs w:val="20"/>
        </w:rPr>
        <w:t>оэффициенты: при бонитете почв до 40 баллов — 0,75, от 41 до 70 баллов — 1,0 и свыше 70 баллов — 1,25.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Применение коэффициентов, указанных в </w:t>
      </w:r>
      <w:hyperlink r:id="rId39" w:history="1">
        <w:r>
          <w:rPr>
            <w:rFonts w:eastAsia="Times New Roman"/>
            <w:color w:val="008080"/>
            <w:sz w:val="20"/>
            <w:szCs w:val="20"/>
          </w:rPr>
          <w:t xml:space="preserve">пунктах 1 </w:t>
        </w:r>
      </w:hyperlink>
      <w:r>
        <w:rPr>
          <w:rFonts w:eastAsia="Times New Roman"/>
          <w:color w:val="339966"/>
          <w:sz w:val="20"/>
          <w:szCs w:val="20"/>
        </w:rPr>
        <w:t xml:space="preserve">и </w:t>
      </w:r>
      <w:hyperlink r:id="rId40" w:history="1">
        <w:r>
          <w:rPr>
            <w:rFonts w:eastAsia="Times New Roman"/>
            <w:color w:val="008080"/>
            <w:sz w:val="20"/>
            <w:szCs w:val="20"/>
          </w:rPr>
          <w:t>2</w:t>
        </w:r>
      </w:hyperlink>
      <w:r>
        <w:rPr>
          <w:rFonts w:eastAsia="Times New Roman"/>
          <w:color w:val="339966"/>
          <w:sz w:val="20"/>
          <w:szCs w:val="20"/>
        </w:rPr>
        <w:t>, осущес</w:t>
      </w:r>
      <w:r>
        <w:rPr>
          <w:rFonts w:eastAsia="Times New Roman"/>
          <w:color w:val="339966"/>
          <w:sz w:val="20"/>
          <w:szCs w:val="20"/>
        </w:rPr>
        <w:t>твляется на основании информации органов, осуществляющих государственную регистрацию права на земельные участки, предоставляемой соответствующим налоговым органам.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3. За земли, занятые под рудниками и карьерами, расположенными в административных границах г</w:t>
      </w:r>
      <w:r>
        <w:rPr>
          <w:rFonts w:eastAsia="Times New Roman"/>
          <w:color w:val="339966"/>
          <w:sz w:val="20"/>
          <w:szCs w:val="20"/>
        </w:rPr>
        <w:t>ородов и поселков, налог уплачивается с применением коэффициента 0,1 к ставкам, приведенным в таблице 1 для соответствующих зон.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4. За земельные участки, предоставленные физическим лицам для предпринимательской деятельности, налог взимается по ставкам, утв</w:t>
      </w:r>
      <w:r>
        <w:rPr>
          <w:rFonts w:eastAsia="Times New Roman"/>
          <w:color w:val="339966"/>
          <w:sz w:val="20"/>
          <w:szCs w:val="20"/>
        </w:rPr>
        <w:t>ержденным для юридических лиц.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5. За земельные участки, занятые коллективными и индивидуальными гаражами, с физических лиц налог взимается по ставкам, утвержденным для земель индивидуального жилищного строительства.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6. При исчислении земельного налога, взимаемого с физических лиц, базовые ставки, приведенные в таблице 1, применяются к земельным участкам в пределах установленных нормативов, а за земельные участки сверх установленных нормативов к базовым ставкам применя</w:t>
      </w:r>
      <w:r>
        <w:rPr>
          <w:rFonts w:eastAsia="Times New Roman"/>
          <w:color w:val="339966"/>
          <w:sz w:val="20"/>
          <w:szCs w:val="20"/>
        </w:rPr>
        <w:t xml:space="preserve">ется повышающий коэффициент — 1,5. 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В целях исчисления земельного налога с физических лиц применяются следующие нормативы земельных участков: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город Ташкент, город Нукус и города областного подчинения — 0,06 гектаров;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прочие населенные пункты (за исключение</w:t>
      </w:r>
      <w:r>
        <w:rPr>
          <w:rFonts w:eastAsia="Times New Roman"/>
          <w:color w:val="339966"/>
          <w:sz w:val="20"/>
          <w:szCs w:val="20"/>
        </w:rPr>
        <w:t>м дехканских хозяйств) — 0,1 гектаров.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7. Земельный налог с юридических и физических лиц по нежилым помещениям в многоэтажных жилых домах исчисляется исходя из площади нежилого помещения деленной на количество этажей.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8. За земельные участки, занятые объек</w:t>
      </w:r>
      <w:r>
        <w:rPr>
          <w:rFonts w:eastAsia="Times New Roman"/>
          <w:color w:val="339966"/>
          <w:sz w:val="20"/>
          <w:szCs w:val="20"/>
        </w:rPr>
        <w:t>тами незавершенного строительства, земельный налог с юридических лиц уплачивается по удвоенным ставкам, если иное не предусмотрено законодательством.</w:t>
      </w:r>
    </w:p>
    <w:p w:rsidR="00000000" w:rsidRDefault="008C1A85">
      <w:pPr>
        <w:shd w:val="clear" w:color="auto" w:fill="FFFFFF"/>
        <w:jc w:val="center"/>
        <w:divId w:val="959343673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ПРИЛОЖЕНИЕ № 10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1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 xml:space="preserve">Республики Узбекистан от 9 декабря 2019 </w:t>
      </w:r>
      <w:r>
        <w:rPr>
          <w:rFonts w:eastAsia="Times New Roman"/>
          <w:color w:val="000080"/>
          <w:sz w:val="22"/>
          <w:szCs w:val="22"/>
        </w:rPr>
        <w:t>года № ЗРУ-589</w:t>
      </w:r>
    </w:p>
    <w:p w:rsidR="00000000" w:rsidRDefault="008C1A85">
      <w:pPr>
        <w:shd w:val="clear" w:color="auto" w:fill="FFFFFF"/>
        <w:jc w:val="center"/>
        <w:divId w:val="39285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Ставки</w:t>
      </w:r>
    </w:p>
    <w:p w:rsidR="00000000" w:rsidRDefault="008C1A85">
      <w:pPr>
        <w:shd w:val="clear" w:color="auto" w:fill="FFFFFF"/>
        <w:jc w:val="center"/>
        <w:divId w:val="1554397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земельного налога, взимаемого с плодоовощеводческих сельскохозяйственных предприятий за земли, занятые плодоовощеводческой продукцией (овощи, бахча, фрукты, виноградники)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956"/>
        <w:gridCol w:w="841"/>
        <w:gridCol w:w="2572"/>
        <w:gridCol w:w="71"/>
        <w:gridCol w:w="2765"/>
      </w:tblGrid>
      <w:tr w:rsidR="00000000">
        <w:trPr>
          <w:divId w:val="39285403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80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spacing w:after="240"/>
              <w:ind w:right="404"/>
              <w:jc w:val="right"/>
            </w:pPr>
            <w:r>
              <w:br/>
              <w:t>Таблица 1</w:t>
            </w:r>
          </w:p>
        </w:tc>
      </w:tr>
      <w:tr w:rsidR="00000000">
        <w:trPr>
          <w:divId w:val="392854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Базовые ставки земельного налога, взимаемого</w:t>
            </w:r>
            <w:r>
              <w:rPr>
                <w:b/>
                <w:bCs/>
              </w:rPr>
              <w:t xml:space="preserve"> с плодоовощеводческих сельскохозяйственных предприятий за земли, занятые плодоовощеводческой продукцией (овощи, бахча, фрукты, виноградники)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00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Республика, область</w:t>
            </w:r>
          </w:p>
        </w:tc>
        <w:tc>
          <w:tcPr>
            <w:tcW w:w="2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Базовые ставки земельного налога за 1 га земель 1 класса, сумов на: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Орошаемых землях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неорошаемых землях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Республика Каракалпакстан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40 251,8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8 625,0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Андижанская область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61 089,8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8 953,4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Бухарская область 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52 953,4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8 688,5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Джизакская область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44 612,6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8 688,5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Кашкадарьинская область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45 600,7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9 124,6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Навоийская область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42 918,0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8 688,5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Наманганская область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62 947,3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9 124,6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Самаркандская область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64 360,4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9 745,6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Сурхандарьинская область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68 652,2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8 625,0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Сырдарьинская область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38 355,7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9 292,9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Ташкентская область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64 484,6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11 371,2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Ферганская область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56 767,7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8 953,4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13.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Хорезмская область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48 915,5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8 625,0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spacing w:after="240"/>
              <w:ind w:right="404"/>
              <w:jc w:val="right"/>
            </w:pPr>
            <w:r>
              <w:br/>
              <w:t>Таблица 2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spacing w:after="240"/>
              <w:ind w:right="404"/>
              <w:jc w:val="right"/>
            </w:pP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  <w:trHeight w:val="6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Поправочные коэффициенты к базовым ставкам земельного налога, взимаемого с плодоовощеводческих сельскохозяйственных предприятий за земли, занятые плодоовощеводческой продукцией (овощи, бахча, фрукты, виноградники)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Классы земель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Балл-бонитета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Коэффициенты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I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0 — 10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(базовая ставка)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II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 — 20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1,50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III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21 — 30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2,25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IV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31 — 40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3,29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V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41 — 50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4,67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VI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51 — 60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6,78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VII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61 — 70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9,00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VIII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71 — 80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11,68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IХ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81 — 90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14,36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Х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91 — 100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17,50</w:t>
            </w:r>
          </w:p>
        </w:tc>
      </w:tr>
      <w:tr w:rsidR="00000000">
        <w:trPr>
          <w:divId w:val="39285403"/>
        </w:trPr>
        <w:tc>
          <w:tcPr>
            <w:tcW w:w="1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Неоцененные земли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4,67</w:t>
            </w:r>
          </w:p>
        </w:tc>
      </w:tr>
    </w:tbl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Примечание: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Ставка земельного налога, взимаемого за орошаемые и неорошаемые сельскохозяйственные угодья, определяется исходя из базовой ставки земельного налога на орошаемые и неорошаемые сельскохозяйственные угодья и поправочного коэффициента, учитывающего качественн</w:t>
      </w:r>
      <w:r>
        <w:rPr>
          <w:rFonts w:eastAsia="Times New Roman"/>
          <w:color w:val="339966"/>
          <w:sz w:val="20"/>
          <w:szCs w:val="20"/>
        </w:rPr>
        <w:t>ую характеристику земельного участка (балл-бонитета).</w:t>
      </w:r>
    </w:p>
    <w:p w:rsidR="00000000" w:rsidRDefault="008C1A85">
      <w:pPr>
        <w:shd w:val="clear" w:color="auto" w:fill="FFFFFF"/>
        <w:jc w:val="center"/>
        <w:divId w:val="451437159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2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2019 года № ЗРУ-589</w:t>
      </w:r>
    </w:p>
    <w:p w:rsidR="00000000" w:rsidRDefault="008C1A85">
      <w:pPr>
        <w:shd w:val="clear" w:color="auto" w:fill="FFFFFF"/>
        <w:jc w:val="center"/>
        <w:divId w:val="39285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Ставки</w:t>
      </w:r>
    </w:p>
    <w:p w:rsidR="00000000" w:rsidRDefault="008C1A85">
      <w:pPr>
        <w:shd w:val="clear" w:color="auto" w:fill="FFFFFF"/>
        <w:jc w:val="center"/>
        <w:divId w:val="64743923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налога за пользование водными ресурсами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5517"/>
        <w:gridCol w:w="1826"/>
        <w:gridCol w:w="1920"/>
      </w:tblGrid>
      <w:tr w:rsidR="00000000">
        <w:trPr>
          <w:divId w:val="39285403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Плательщики</w:t>
            </w:r>
          </w:p>
        </w:tc>
        <w:tc>
          <w:tcPr>
            <w:tcW w:w="1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Ставка за 1 куб. метр (сум)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Поверхностные источники водных ресурсов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Подземные источники водных ресурсов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Предприятия всех отраслей экономики (за исключением указанных в пунктах 2 — 6), дехканские хозяйства (юридические и физические лица), а также фи</w:t>
            </w:r>
            <w:r>
              <w:t>зические лица, использующие водные ресурсы в процессе осуществления предпринимательской деятельности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170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Предприятия промышленности (за исключением указанных в пунктах 3 — 6)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490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Предприятия, специализированные на мойке автотранспортных средств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1 380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1 730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Электростанции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Предприятия коммунального обслуживания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90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6.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Предприятия-производители, безалкогольных напитков и алкогольной продукции, кроме пива и вина: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по объему воды, используемой для производства безалкогольных напитков и алкогольной продукции кроме пива и вина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21 900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21 900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на прочие цели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490</w:t>
            </w:r>
          </w:p>
        </w:tc>
      </w:tr>
    </w:tbl>
    <w:p w:rsidR="00000000" w:rsidRDefault="008C1A85">
      <w:pPr>
        <w:shd w:val="clear" w:color="auto" w:fill="FFFFFF"/>
        <w:jc w:val="center"/>
        <w:divId w:val="2009215420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12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3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</w:t>
      </w:r>
      <w:r>
        <w:rPr>
          <w:rFonts w:eastAsia="Times New Roman"/>
          <w:color w:val="000080"/>
          <w:sz w:val="22"/>
          <w:szCs w:val="22"/>
        </w:rPr>
        <w:t>9 года № ЗРУ-589</w:t>
      </w:r>
    </w:p>
    <w:p w:rsidR="00000000" w:rsidRDefault="008C1A85">
      <w:pPr>
        <w:shd w:val="clear" w:color="auto" w:fill="FFFFFF"/>
        <w:jc w:val="center"/>
        <w:divId w:val="39285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Минимальные ставки</w:t>
      </w:r>
    </w:p>
    <w:p w:rsidR="00000000" w:rsidRDefault="008C1A85">
      <w:pPr>
        <w:shd w:val="clear" w:color="auto" w:fill="FFFFFF"/>
        <w:jc w:val="center"/>
        <w:divId w:val="212850456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арендной платы для физических лиц, сдающих имущество в аренду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308"/>
        <w:gridCol w:w="2121"/>
        <w:gridCol w:w="1171"/>
        <w:gridCol w:w="1266"/>
        <w:gridCol w:w="1397"/>
      </w:tblGrid>
      <w:tr w:rsidR="00000000">
        <w:trPr>
          <w:divId w:val="39285403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Вид имущества, передаваемого в аренду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Показатель, характеризующий размер установленной ставки</w:t>
            </w:r>
          </w:p>
        </w:tc>
        <w:tc>
          <w:tcPr>
            <w:tcW w:w="2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Минимальные размеры ставок арендной платы в месяц, сум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1A85"/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город Ташкент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город Нукус, города-областные центры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другие населенные пункты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4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Помещения:</w:t>
            </w:r>
          </w:p>
        </w:tc>
      </w:tr>
      <w:tr w:rsidR="00000000">
        <w:trPr>
          <w:divId w:val="39285403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жилое помещение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за 1 кв. метр общей площади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12 000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7 500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3 500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1A85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нежилое помещение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8C1A85"/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25 000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6 500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4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Автомобильный транспорт:</w:t>
            </w:r>
          </w:p>
        </w:tc>
      </w:tr>
      <w:tr w:rsidR="00000000">
        <w:trPr>
          <w:divId w:val="39285403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легковой автомобиль (автотранспортное средство, предназначенное для перевозки пассажиров, багажа и имеющее не более 8 мест для посадки, не считая места водителя)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та автотранспорт воситаси учун</w:t>
            </w:r>
          </w:p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500 000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8C1A85"/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микроавтобусы, автобусы и грузовые автомобили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0000" w:rsidRDefault="008C1A85"/>
        </w:tc>
        <w:tc>
          <w:tcPr>
            <w:tcW w:w="2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 xml:space="preserve">1 </w:t>
            </w:r>
            <w:r>
              <w:t>000 000</w:t>
            </w:r>
          </w:p>
        </w:tc>
      </w:tr>
    </w:tbl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Примечание: Данные ставки применяются в целях налогообложения доходов физических лиц от сдачи имущества в аренду.</w:t>
      </w:r>
    </w:p>
    <w:p w:rsidR="00000000" w:rsidRDefault="008C1A85">
      <w:pPr>
        <w:shd w:val="clear" w:color="auto" w:fill="FFFFFF"/>
        <w:jc w:val="center"/>
        <w:divId w:val="1875998737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13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4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2019 года № ЗРУ-589</w:t>
      </w:r>
    </w:p>
    <w:p w:rsidR="00000000" w:rsidRDefault="008C1A85">
      <w:pPr>
        <w:shd w:val="clear" w:color="auto" w:fill="FFFFFF"/>
        <w:jc w:val="center"/>
        <w:divId w:val="39285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Фиксированные суммы</w:t>
      </w:r>
    </w:p>
    <w:p w:rsidR="00000000" w:rsidRDefault="008C1A85">
      <w:pPr>
        <w:shd w:val="clear" w:color="auto" w:fill="FFFFFF"/>
        <w:jc w:val="center"/>
        <w:divId w:val="134220098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налога на доходы физических лиц для индивидуальных предпринимателей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776"/>
        <w:gridCol w:w="1251"/>
        <w:gridCol w:w="1347"/>
        <w:gridCol w:w="1153"/>
        <w:gridCol w:w="1736"/>
      </w:tblGrid>
      <w:tr w:rsidR="00000000">
        <w:trPr>
          <w:divId w:val="39285403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Вид деятельности</w:t>
            </w:r>
          </w:p>
        </w:tc>
        <w:tc>
          <w:tcPr>
            <w:tcW w:w="28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Фиксированная сумма в месяц (в сумах)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город Ташкент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город Нукус, города-областные центры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прочие города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прочие населенные пункты</w:t>
            </w:r>
          </w:p>
        </w:tc>
      </w:tr>
      <w:tr w:rsidR="00000000">
        <w:trPr>
          <w:divId w:val="39285403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Розничная торговля: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продовольственными и непродовольственными товарами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750 000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600 000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200 000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сельскохозяйственной продукцией на дехканских рынках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250 000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50 000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газетами, журналами и книжной продукцией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250 000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50 000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Бытовые услуги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250 000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50 000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Изготовление и реализация национальных сладостей, кондитерских изделий, курта в домашних условиях, без использования упаковочного оборудования, национальных лепешек и патыра, попкорна, мороженого на фрезере, прохладительных напитков, айрана, гужа на розлив</w:t>
            </w:r>
            <w:r>
              <w:t>, салатов и солений, а также отдельных видов штучных блюд приготовленных в домашних условиях без организации посадочных мест или в местах, специально отведенных решением органов государственной власти на местах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225 000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75 000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50 000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Детские игр</w:t>
            </w:r>
            <w:r>
              <w:t xml:space="preserve">овые автоматы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225 000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50 000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Прочие виды деятельности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225 000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150 000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100 000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50 000</w:t>
            </w:r>
          </w:p>
        </w:tc>
      </w:tr>
      <w:tr w:rsidR="00000000">
        <w:trPr>
          <w:divId w:val="39285403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Услуги по перевозке грузов автомобильным транспортом:</w:t>
            </w:r>
          </w:p>
        </w:tc>
        <w:tc>
          <w:tcPr>
            <w:tcW w:w="2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для грузовых автомобилей грузоподъемностью до 3 тонн</w:t>
            </w:r>
          </w:p>
        </w:tc>
        <w:tc>
          <w:tcPr>
            <w:tcW w:w="2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150 000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для грузовых автомобилей грузоподъемностью свыше 3 тонн</w:t>
            </w:r>
          </w:p>
        </w:tc>
        <w:tc>
          <w:tcPr>
            <w:tcW w:w="28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225 000</w:t>
            </w:r>
          </w:p>
        </w:tc>
      </w:tr>
    </w:tbl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Примечания: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1. Физическое лицо: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а) занимающееся несколькими видами деятельности, уплачивает фиксированную сумму налога за каждый вид деятельности в отдельности;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б) осуществляющее предпринимательскую деятельность на арендованном оборудовании и помещении, должно представлять справку (информацию) об арендодателе органу государственной налоговой службы по месту жительства; 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в) осуществляющее предпринимательскую деятел</w:t>
      </w:r>
      <w:r>
        <w:rPr>
          <w:rFonts w:eastAsia="Times New Roman"/>
          <w:color w:val="339966"/>
          <w:sz w:val="20"/>
          <w:szCs w:val="20"/>
        </w:rPr>
        <w:t>ьность не по месту государственной регистрации, фиксированную сумму уплачивают по месту его регистрации по наибольшей ставке между ставками, установленными по месту регистрации и месту фактического осуществления деятельности;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г) являющееся инвалидом I или </w:t>
      </w:r>
      <w:r>
        <w:rPr>
          <w:rFonts w:eastAsia="Times New Roman"/>
          <w:color w:val="339966"/>
          <w:sz w:val="20"/>
          <w:szCs w:val="20"/>
        </w:rPr>
        <w:t>II группы, независимо от вида деятельности и места его осуществления уплачивает фиксированную сумму в размере 50 процентов от установленной, но не более 50 процентов базовой расчетной величины в месяц;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д) производство и реализация (членами ассоциация «Хуна</w:t>
      </w:r>
      <w:r>
        <w:rPr>
          <w:rFonts w:eastAsia="Times New Roman"/>
          <w:color w:val="339966"/>
          <w:sz w:val="20"/>
          <w:szCs w:val="20"/>
        </w:rPr>
        <w:t>рманд») ремесленных изделий (товаров, услуг) освобождается от уплаты фиксированной суммы налога на доходы физических лиц по данному виду деятельности.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2. Доходы физических лиц от сдачи имущества в аренду облагаются налогом на доходы физических лиц.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3. Физи</w:t>
      </w:r>
      <w:r>
        <w:rPr>
          <w:rFonts w:eastAsia="Times New Roman"/>
          <w:color w:val="339966"/>
          <w:sz w:val="20"/>
          <w:szCs w:val="20"/>
        </w:rPr>
        <w:t>ческие лица, оказывающие услуги, связанные с детскими игровыми автоматами, уплачивают фиксированную сумму за каждое оборудованное место (единицу). Юридические лица, оказывающие услуги, связанные с детскими игровыми автоматами уплачивают налог с оборота либ</w:t>
      </w:r>
      <w:r>
        <w:rPr>
          <w:rFonts w:eastAsia="Times New Roman"/>
          <w:color w:val="339966"/>
          <w:sz w:val="20"/>
          <w:szCs w:val="20"/>
        </w:rPr>
        <w:t xml:space="preserve">о общеустановленные налоги в порядке, установленном Налоговым </w:t>
      </w:r>
      <w:hyperlink r:id="rId45" w:history="1">
        <w:r>
          <w:rPr>
            <w:rFonts w:eastAsia="Times New Roman"/>
            <w:color w:val="008080"/>
            <w:sz w:val="20"/>
            <w:szCs w:val="20"/>
          </w:rPr>
          <w:t xml:space="preserve">кодексом </w:t>
        </w:r>
      </w:hyperlink>
      <w:r>
        <w:rPr>
          <w:rFonts w:eastAsia="Times New Roman"/>
          <w:color w:val="339966"/>
          <w:sz w:val="20"/>
          <w:szCs w:val="20"/>
        </w:rPr>
        <w:t>Республики Узбекистан.</w:t>
      </w:r>
    </w:p>
    <w:p w:rsidR="00000000" w:rsidRDefault="008C1A85">
      <w:pPr>
        <w:shd w:val="clear" w:color="auto" w:fill="FFFFFF"/>
        <w:jc w:val="center"/>
        <w:divId w:val="641035473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14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6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2019 года № ЗРУ-589</w:t>
      </w:r>
    </w:p>
    <w:p w:rsidR="00000000" w:rsidRDefault="008C1A85">
      <w:pPr>
        <w:shd w:val="clear" w:color="auto" w:fill="FFFFFF"/>
        <w:jc w:val="center"/>
        <w:divId w:val="39285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Предельные ставки</w:t>
      </w:r>
    </w:p>
    <w:p w:rsidR="00000000" w:rsidRDefault="008C1A85">
      <w:pPr>
        <w:shd w:val="clear" w:color="auto" w:fill="FFFFFF"/>
        <w:jc w:val="center"/>
        <w:divId w:val="90885376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местных сборов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999"/>
        <w:gridCol w:w="1444"/>
        <w:gridCol w:w="1639"/>
        <w:gridCol w:w="1251"/>
        <w:gridCol w:w="1930"/>
      </w:tblGrid>
      <w:tr w:rsidR="00000000">
        <w:trPr>
          <w:divId w:val="39285403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Виды сборов</w:t>
            </w:r>
          </w:p>
        </w:tc>
        <w:tc>
          <w:tcPr>
            <w:tcW w:w="3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Предельные ставки (в сумах) в месяц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b/>
                <w:bCs/>
              </w:rPr>
              <w:t xml:space="preserve">Сбор за право розничной торговли отдельными видами товаров: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город Ташкент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город Нукус, города-областные центры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прочие города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прочие населенные пункты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алкогольной продукцией, включая реализацию алкогольной продукции предприятиями общественного питания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1 200 000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1 000 000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800 000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600 000</w:t>
            </w:r>
          </w:p>
        </w:tc>
      </w:tr>
    </w:tbl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Примечания: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Сбор за право розничной торговли алкогольной продукцией, в том числе реализация алкогольной продукции предприятиями общественного питания, поступает на единый счет с дальнейшим распределением средств между бюджетом и Агентством государственных услуг при Ми</w:t>
      </w:r>
      <w:r>
        <w:rPr>
          <w:rFonts w:eastAsia="Times New Roman"/>
          <w:color w:val="339966"/>
          <w:sz w:val="20"/>
          <w:szCs w:val="20"/>
        </w:rPr>
        <w:t>нистерстве юстиции Республики Узбекистан.</w:t>
      </w:r>
    </w:p>
    <w:p w:rsidR="00000000" w:rsidRDefault="008C1A85">
      <w:pPr>
        <w:shd w:val="clear" w:color="auto" w:fill="FFFFFF"/>
        <w:jc w:val="center"/>
        <w:divId w:val="202452091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>ПРИЛОЖЕНИЕ № 15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hyperlink r:id="rId47" w:history="1">
        <w:r>
          <w:rPr>
            <w:rFonts w:eastAsia="Times New Roman"/>
            <w:color w:val="008080"/>
            <w:sz w:val="22"/>
            <w:szCs w:val="22"/>
          </w:rPr>
          <w:t xml:space="preserve">Закону </w:t>
        </w:r>
      </w:hyperlink>
      <w:r>
        <w:rPr>
          <w:rFonts w:eastAsia="Times New Roman"/>
          <w:color w:val="000080"/>
          <w:sz w:val="22"/>
          <w:szCs w:val="22"/>
        </w:rPr>
        <w:t>Республики Узбекистан от 9 декабря 2019 года № ЗРУ-589</w:t>
      </w:r>
    </w:p>
    <w:p w:rsidR="00000000" w:rsidRDefault="008C1A85">
      <w:pPr>
        <w:shd w:val="clear" w:color="auto" w:fill="FFFFFF"/>
        <w:jc w:val="center"/>
        <w:divId w:val="3928540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Ставки</w:t>
      </w:r>
    </w:p>
    <w:p w:rsidR="00000000" w:rsidRDefault="008C1A85">
      <w:pPr>
        <w:shd w:val="clear" w:color="auto" w:fill="FFFFFF"/>
        <w:jc w:val="center"/>
        <w:divId w:val="184111763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сборов за приобретение и (или) временный ввоз на территорию Республики Узбекистан автотранспортных средств, уплачиваемых владельцами (пользователями) автотранспортных средств при их регистрации в органах внутренних дел, и сборов за въезд на территорию и тр</w:t>
      </w:r>
      <w:r>
        <w:rPr>
          <w:rFonts w:eastAsia="Times New Roman"/>
          <w:b/>
          <w:bCs/>
          <w:color w:val="000080"/>
        </w:rPr>
        <w:t>анзит по территории Республики Узбекистан автотранспортных средств иностранных государств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5423"/>
        <w:gridCol w:w="954"/>
        <w:gridCol w:w="1635"/>
        <w:gridCol w:w="1246"/>
      </w:tblGrid>
      <w:tr w:rsidR="00000000">
        <w:trPr>
          <w:divId w:val="39285403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Виды сборов и платежей</w:t>
            </w:r>
          </w:p>
        </w:tc>
        <w:tc>
          <w:tcPr>
            <w:tcW w:w="2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Ставки сборов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I.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Сборы за въезд на территорию и транзит по территории Республики Узбекистан автотранспортных средств иностранных государст</w:t>
            </w:r>
            <w:r>
              <w:rPr>
                <w:b/>
                <w:bCs/>
              </w:rPr>
              <w:t>в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в долларах США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Сбор за въезд на территорию и транзит по территории Республики Узбекистан автотранспортных средств из иностранных государств, за въезд одного автоперевозчика (за исключением стран, указанных в пунктах 2 — 5) 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400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Сборы за въезд на территорию и транзит грузовых автотранспортных средств Республики Таджикистан через территорию Республики Узбекистан: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до 10 тонн 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100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от 10 до 20 тонн 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150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свыше 20 тонн 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200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Сбор за въезд на территорию и транзит грузовых автотранспортных средств Республики Казахстан через территорию Республики Узбекистан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300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4.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Сбор за въезд на территорию и транзит грузовых автотранспортных средств Кыргызской Республики через территорию Рес</w:t>
            </w:r>
            <w:r>
              <w:t>публики Узбекистан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300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Сборы за въезд на территорию и транзит грузовых автотранспортных средств Республики Туркменистан по территории Республики Узбекистан грузоподъемностью: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/>
        </w:tc>
      </w:tr>
      <w:tr w:rsidR="00000000">
        <w:trPr>
          <w:divId w:val="39285403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до 10 тонн 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50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от 10 до 20 тонн 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100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свыше 20 тонн 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150</w:t>
            </w: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II.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b/>
                <w:bCs/>
              </w:rPr>
              <w:t>Сбор за приобретение и (или) временный ввоз на территорию Республики Узбекистан автотранспортных средств, уплачиваемый владельцами (пользователями) автотранспортных средств при их регистрации в органах Министерства внутренних дел Республики Узбекистан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</w:tr>
      <w:tr w:rsidR="00000000">
        <w:trPr>
          <w:divId w:val="3928540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1.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>По новым автотранспортным средствам (не бывших в эксплуатации), за исключением отечественного производства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3 процента от цены приобретения</w:t>
            </w:r>
          </w:p>
        </w:tc>
      </w:tr>
      <w:tr w:rsidR="00000000">
        <w:trPr>
          <w:divId w:val="39285403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2.</w:t>
            </w:r>
          </w:p>
        </w:tc>
        <w:tc>
          <w:tcPr>
            <w:tcW w:w="2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t xml:space="preserve">По автотранспортным средствам, бывшим в эксплуатации: 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t>в процентах от базовой расчетной величины за каждую лошадиную силу в зависимости от срока эксплуатации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до 3 лет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от 3 до 7 лет включительно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свыше 7 лет</w:t>
            </w:r>
          </w:p>
        </w:tc>
      </w:tr>
      <w:tr w:rsidR="00000000">
        <w:trPr>
          <w:divId w:val="39285403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Автомобили легковые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Мотоциклы (включая мопеды) и велосипеды с установленным вспомогательн</w:t>
            </w:r>
            <w:r>
              <w:rPr>
                <w:color w:val="000000"/>
              </w:rPr>
              <w:t>ым двигателем, с колясками или без них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000000">
        <w:trPr>
          <w:divId w:val="39285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8C1A85"/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r>
              <w:rPr>
                <w:color w:val="000000"/>
              </w:rPr>
              <w:t>Прочие моторные транспортные средства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8C1A85">
            <w:pPr>
              <w:jc w:val="center"/>
            </w:pPr>
            <w:r>
              <w:rPr>
                <w:color w:val="000000"/>
              </w:rPr>
              <w:t>9</w:t>
            </w:r>
          </w:p>
        </w:tc>
      </w:tr>
    </w:tbl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Примечания: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 xml:space="preserve">1. За проезд тяжеловесных и крупногабаритных транспортных средств иностранных государств по территории Республики Узбекистан, наряду с уплатой сбора по ставкам, предусмотренным настоящим приложением, дополнительно взимается плата в размерах, установленных </w:t>
      </w:r>
      <w:hyperlink r:id="rId48" w:history="1">
        <w:r>
          <w:rPr>
            <w:rFonts w:eastAsia="Times New Roman"/>
            <w:color w:val="008080"/>
            <w:sz w:val="20"/>
            <w:szCs w:val="20"/>
          </w:rPr>
          <w:t xml:space="preserve">постановлением </w:t>
        </w:r>
      </w:hyperlink>
      <w:r>
        <w:rPr>
          <w:rFonts w:eastAsia="Times New Roman"/>
          <w:color w:val="339966"/>
          <w:sz w:val="20"/>
          <w:szCs w:val="20"/>
        </w:rPr>
        <w:t>Кабинета Министров Республики Узбекистан от 11 января 1995 года № 11.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2. При перевозке грузов из третьих стран в Республику Узбекистан и вывоза грузов с территории Республики Узбекистан, с грузовых а</w:t>
      </w:r>
      <w:r>
        <w:rPr>
          <w:rFonts w:eastAsia="Times New Roman"/>
          <w:color w:val="339966"/>
          <w:sz w:val="20"/>
          <w:szCs w:val="20"/>
        </w:rPr>
        <w:t>втотранспортных средств Туркменистана дополнительно взимается сбор в размере 175 долл. США.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3. При перевозке гуманитарных грузов к ставке сборов, взимаемых при въезде и транзите автотранспортных средств, применяется понижающий коэффициент 0,5.</w:t>
      </w:r>
    </w:p>
    <w:p w:rsidR="00000000" w:rsidRDefault="008C1A85">
      <w:pPr>
        <w:shd w:val="clear" w:color="auto" w:fill="FFFFFF"/>
        <w:ind w:firstLine="851"/>
        <w:jc w:val="both"/>
        <w:divId w:val="39285403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4. Если межд</w:t>
      </w:r>
      <w:r>
        <w:rPr>
          <w:rFonts w:eastAsia="Times New Roman"/>
          <w:color w:val="339966"/>
          <w:sz w:val="20"/>
          <w:szCs w:val="20"/>
        </w:rPr>
        <w:t>ународным договором Республики Узбекистан установлены иные правила, то применяются правила международного договора.</w:t>
      </w:r>
    </w:p>
    <w:p w:rsidR="00000000" w:rsidRDefault="008C1A85">
      <w:pPr>
        <w:shd w:val="clear" w:color="auto" w:fill="FFFFFF"/>
        <w:divId w:val="39285403"/>
        <w:rPr>
          <w:rFonts w:eastAsia="Times New Roman"/>
        </w:rPr>
      </w:pPr>
    </w:p>
    <w:p w:rsidR="00000000" w:rsidRDefault="008C1A85">
      <w:pPr>
        <w:shd w:val="clear" w:color="auto" w:fill="FFFFFF"/>
        <w:jc w:val="center"/>
        <w:divId w:val="938562079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(Национальная база данных законодательства, 10.12.2019 г., № 03/19/589/4126)</w:t>
      </w:r>
    </w:p>
    <w:sectPr w:rsidR="00000000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C1A85"/>
    <w:rsid w:val="008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0D62-13A2-4BA8-AEF1-32C85EB5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40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8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117">
          <w:marLeft w:val="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7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74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76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3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6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30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29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6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12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03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7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81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66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0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7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71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57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72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5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4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02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06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16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8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69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6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62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50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45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9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16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2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2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331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63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40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12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80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892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53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29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482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628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58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01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7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15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420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737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47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091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scrollText(4637073)" TargetMode="External"/><Relationship Id="rId18" Type="http://schemas.openxmlformats.org/officeDocument/2006/relationships/hyperlink" Target="javascript:scrollText(4637459)" TargetMode="External"/><Relationship Id="rId26" Type="http://schemas.openxmlformats.org/officeDocument/2006/relationships/hyperlink" Target="javascript:scrollText()" TargetMode="External"/><Relationship Id="rId39" Type="http://schemas.openxmlformats.org/officeDocument/2006/relationships/hyperlink" Target="javascript:scrollText(4637177)" TargetMode="External"/><Relationship Id="rId21" Type="http://schemas.openxmlformats.org/officeDocument/2006/relationships/hyperlink" Target="javascript:scrollText(4637008)" TargetMode="External"/><Relationship Id="rId34" Type="http://schemas.openxmlformats.org/officeDocument/2006/relationships/hyperlink" Target="javascript:scrollText(4637068)" TargetMode="External"/><Relationship Id="rId42" Type="http://schemas.openxmlformats.org/officeDocument/2006/relationships/hyperlink" Target="javascript:scrollText()" TargetMode="External"/><Relationship Id="rId47" Type="http://schemas.openxmlformats.org/officeDocument/2006/relationships/hyperlink" Target="javascript:scrollText()" TargetMode="External"/><Relationship Id="rId50" Type="http://schemas.openxmlformats.org/officeDocument/2006/relationships/theme" Target="theme/theme1.xml"/><Relationship Id="rId7" Type="http://schemas.openxmlformats.org/officeDocument/2006/relationships/hyperlink" Target="javascript:scrollText(4636906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scrollText(4637401)" TargetMode="External"/><Relationship Id="rId29" Type="http://schemas.openxmlformats.org/officeDocument/2006/relationships/hyperlink" Target="javascript:scrollText()" TargetMode="External"/><Relationship Id="rId11" Type="http://schemas.openxmlformats.org/officeDocument/2006/relationships/hyperlink" Target="javascript:scrollText(4637029)" TargetMode="External"/><Relationship Id="rId24" Type="http://schemas.openxmlformats.org/officeDocument/2006/relationships/hyperlink" Target="javascript:scrollText(4636896)" TargetMode="External"/><Relationship Id="rId32" Type="http://schemas.openxmlformats.org/officeDocument/2006/relationships/hyperlink" Target="javascript:scrollText()" TargetMode="External"/><Relationship Id="rId37" Type="http://schemas.openxmlformats.org/officeDocument/2006/relationships/hyperlink" Target="javascript:scrollText()" TargetMode="External"/><Relationship Id="rId40" Type="http://schemas.openxmlformats.org/officeDocument/2006/relationships/hyperlink" Target="javascript:scrollText(4637181)" TargetMode="External"/><Relationship Id="rId45" Type="http://schemas.openxmlformats.org/officeDocument/2006/relationships/hyperlink" Target="http://lex.uz/docs/1286689" TargetMode="External"/><Relationship Id="rId5" Type="http://schemas.openxmlformats.org/officeDocument/2006/relationships/hyperlink" Target="javascript:scrollText(4636871)" TargetMode="External"/><Relationship Id="rId15" Type="http://schemas.openxmlformats.org/officeDocument/2006/relationships/hyperlink" Target="javascript:scrollText(4637231)" TargetMode="External"/><Relationship Id="rId23" Type="http://schemas.openxmlformats.org/officeDocument/2006/relationships/hyperlink" Target="javascript:scrollText(4636896)" TargetMode="External"/><Relationship Id="rId28" Type="http://schemas.openxmlformats.org/officeDocument/2006/relationships/hyperlink" Target="javascript:scrollText()" TargetMode="External"/><Relationship Id="rId36" Type="http://schemas.openxmlformats.org/officeDocument/2006/relationships/hyperlink" Target="javascript:scrollText(4637071)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scrollText(4637008)" TargetMode="External"/><Relationship Id="rId19" Type="http://schemas.openxmlformats.org/officeDocument/2006/relationships/hyperlink" Target="javascript:scrollText(4637481)" TargetMode="External"/><Relationship Id="rId31" Type="http://schemas.openxmlformats.org/officeDocument/2006/relationships/hyperlink" Target="javascript:scrollText()" TargetMode="External"/><Relationship Id="rId44" Type="http://schemas.openxmlformats.org/officeDocument/2006/relationships/hyperlink" Target="javascript:scrollText()" TargetMode="External"/><Relationship Id="rId4" Type="http://schemas.openxmlformats.org/officeDocument/2006/relationships/hyperlink" Target="javascript:scrollText(4635702)" TargetMode="External"/><Relationship Id="rId9" Type="http://schemas.openxmlformats.org/officeDocument/2006/relationships/hyperlink" Target="javascript:scrollText(4636925)" TargetMode="External"/><Relationship Id="rId14" Type="http://schemas.openxmlformats.org/officeDocument/2006/relationships/hyperlink" Target="javascript:scrollText(4637198)" TargetMode="External"/><Relationship Id="rId22" Type="http://schemas.openxmlformats.org/officeDocument/2006/relationships/hyperlink" Target="javascript:scrollText()" TargetMode="External"/><Relationship Id="rId27" Type="http://schemas.openxmlformats.org/officeDocument/2006/relationships/hyperlink" Target="javascript:scrollText()" TargetMode="External"/><Relationship Id="rId30" Type="http://schemas.openxmlformats.org/officeDocument/2006/relationships/hyperlink" Target="javascript:scrollText()" TargetMode="External"/><Relationship Id="rId35" Type="http://schemas.openxmlformats.org/officeDocument/2006/relationships/hyperlink" Target="javascript:scrollText(4637068)" TargetMode="External"/><Relationship Id="rId43" Type="http://schemas.openxmlformats.org/officeDocument/2006/relationships/hyperlink" Target="javascript:scrollText()" TargetMode="External"/><Relationship Id="rId48" Type="http://schemas.openxmlformats.org/officeDocument/2006/relationships/hyperlink" Target="http://lex.uz/docs/451458" TargetMode="External"/><Relationship Id="rId8" Type="http://schemas.openxmlformats.org/officeDocument/2006/relationships/hyperlink" Target="javascript:scrollText(4636915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scrollText(4637051)" TargetMode="External"/><Relationship Id="rId17" Type="http://schemas.openxmlformats.org/officeDocument/2006/relationships/hyperlink" Target="javascript:scrollText(4637421)" TargetMode="External"/><Relationship Id="rId25" Type="http://schemas.openxmlformats.org/officeDocument/2006/relationships/hyperlink" Target="javascript:scrollText(4636898)" TargetMode="External"/><Relationship Id="rId33" Type="http://schemas.openxmlformats.org/officeDocument/2006/relationships/hyperlink" Target="javascript:scrollText(4637068)" TargetMode="External"/><Relationship Id="rId38" Type="http://schemas.openxmlformats.org/officeDocument/2006/relationships/hyperlink" Target="javascript:scrollText(4637073)" TargetMode="External"/><Relationship Id="rId46" Type="http://schemas.openxmlformats.org/officeDocument/2006/relationships/hyperlink" Target="javascript:scrollText()" TargetMode="External"/><Relationship Id="rId20" Type="http://schemas.openxmlformats.org/officeDocument/2006/relationships/hyperlink" Target="javascript:scrollText(4635838)" TargetMode="External"/><Relationship Id="rId41" Type="http://schemas.openxmlformats.org/officeDocument/2006/relationships/hyperlink" Target="javascript:scrollText(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crollText(463689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10340</Words>
  <Characters>70656</Characters>
  <Application>Microsoft Office Word</Application>
  <DocSecurity>4</DocSecurity>
  <Lines>588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ЗРУ-589 09.12.2019</vt:lpstr>
    </vt:vector>
  </TitlesOfParts>
  <Company/>
  <LinksUpToDate>false</LinksUpToDate>
  <CharactersWithSpaces>80835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ЗРУ-589 09.12.2019</dc:title>
  <dc:subject/>
  <dc:creator>Gusakova Evgeniya Aleksandrovna</dc:creator>
  <cp:keywords/>
  <dc:description/>
  <cp:lastModifiedBy>Gusakova Evgeniya Aleksandrovna</cp:lastModifiedBy>
  <cp:revision>2</cp:revision>
  <dcterms:created xsi:type="dcterms:W3CDTF">2020-03-12T06:58:00Z</dcterms:created>
  <dcterms:modified xsi:type="dcterms:W3CDTF">2020-03-12T06:58:00Z</dcterms:modified>
</cp:coreProperties>
</file>